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DC946">
      <w:pPr>
        <w:spacing w:before="101" w:line="417" w:lineRule="exact"/>
        <w:ind w:left="28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5"/>
          <w:position w:val="1"/>
          <w:sz w:val="31"/>
          <w:szCs w:val="31"/>
        </w:rPr>
        <w:t>附件</w:t>
      </w:r>
      <w:r>
        <w:rPr>
          <w:rFonts w:ascii="黑体" w:hAnsi="黑体" w:eastAsia="黑体" w:cs="黑体"/>
          <w:spacing w:val="-36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1"/>
          <w:sz w:val="31"/>
          <w:szCs w:val="31"/>
        </w:rPr>
        <w:t>1</w:t>
      </w:r>
    </w:p>
    <w:p w14:paraId="216E55C2">
      <w:pPr>
        <w:spacing w:line="241" w:lineRule="auto"/>
        <w:rPr>
          <w:rFonts w:ascii="Arial"/>
          <w:sz w:val="21"/>
        </w:rPr>
      </w:pPr>
    </w:p>
    <w:p w14:paraId="3CB1FA76">
      <w:pPr>
        <w:spacing w:line="241" w:lineRule="auto"/>
        <w:rPr>
          <w:rFonts w:ascii="Arial"/>
          <w:sz w:val="21"/>
        </w:rPr>
      </w:pPr>
    </w:p>
    <w:p w14:paraId="4A973348">
      <w:pPr>
        <w:spacing w:before="185" w:line="192" w:lineRule="auto"/>
        <w:ind w:left="1512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Times New Roman" w:hAnsi="Times New Roman" w:eastAsia="Times New Roman" w:cs="Times New Roman"/>
          <w:spacing w:val="7"/>
          <w:sz w:val="43"/>
          <w:szCs w:val="43"/>
        </w:rPr>
        <w:t xml:space="preserve">2026 </w:t>
      </w:r>
      <w:r>
        <w:rPr>
          <w:rFonts w:ascii="微软雅黑" w:hAnsi="微软雅黑" w:eastAsia="微软雅黑" w:cs="微软雅黑"/>
          <w:spacing w:val="7"/>
          <w:sz w:val="43"/>
          <w:szCs w:val="43"/>
        </w:rPr>
        <w:t>年度省前沿技术研发计划</w:t>
      </w:r>
    </w:p>
    <w:p w14:paraId="16B17848">
      <w:pPr>
        <w:spacing w:line="204" w:lineRule="auto"/>
        <w:ind w:left="2204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1"/>
          <w:sz w:val="43"/>
          <w:szCs w:val="43"/>
        </w:rPr>
        <w:t>（社会发展）项目指南</w:t>
      </w:r>
    </w:p>
    <w:p w14:paraId="0637B914">
      <w:pPr>
        <w:spacing w:line="275" w:lineRule="auto"/>
        <w:rPr>
          <w:rFonts w:ascii="Arial"/>
          <w:sz w:val="21"/>
        </w:rPr>
      </w:pPr>
    </w:p>
    <w:p w14:paraId="51E050BA">
      <w:pPr>
        <w:spacing w:line="276" w:lineRule="auto"/>
        <w:rPr>
          <w:rFonts w:ascii="Arial"/>
          <w:sz w:val="21"/>
        </w:rPr>
      </w:pPr>
    </w:p>
    <w:p w14:paraId="2FD95FF1">
      <w:pPr>
        <w:pStyle w:val="2"/>
        <w:spacing w:before="101" w:line="350" w:lineRule="auto"/>
        <w:ind w:left="11" w:right="211" w:firstLine="638"/>
        <w:jc w:val="both"/>
      </w:pPr>
      <w:r>
        <w:rPr>
          <w:spacing w:val="6"/>
        </w:rPr>
        <w:t>省前沿技术研发计划（社会发展）突出“</w:t>
      </w:r>
      <w:r>
        <w:rPr>
          <w:spacing w:val="-102"/>
        </w:rPr>
        <w:t xml:space="preserve"> </w:t>
      </w:r>
      <w:r>
        <w:rPr>
          <w:spacing w:val="6"/>
        </w:rPr>
        <w:t>惠民生、保安全、</w:t>
      </w:r>
      <w:r>
        <w:rPr>
          <w:spacing w:val="5"/>
        </w:rPr>
        <w:t>强监管、促发展”，紧紧围绕我省社会发展行业领域重大科技需求，聚焦生态环境、公共安全、防减救灾、可持续发展等重点领</w:t>
      </w:r>
      <w:r>
        <w:rPr>
          <w:spacing w:val="8"/>
        </w:rPr>
        <w:t>域，加强前沿引领技术研究，开展重大科技示范，为美丽江苏、平安江苏建设提供科技支撑。</w:t>
      </w:r>
    </w:p>
    <w:p w14:paraId="4F6A9703">
      <w:pPr>
        <w:spacing w:line="412" w:lineRule="exact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1"/>
          <w:sz w:val="31"/>
          <w:szCs w:val="31"/>
        </w:rPr>
        <w:t>一、重点项目</w:t>
      </w:r>
    </w:p>
    <w:p w14:paraId="0F9716AC">
      <w:pPr>
        <w:spacing w:before="189" w:line="266" w:lineRule="auto"/>
        <w:ind w:right="313" w:firstLine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 xml:space="preserve">3001  </w:t>
      </w:r>
      <w:r>
        <w:rPr>
          <w:rFonts w:ascii="微软雅黑" w:hAnsi="微软雅黑" w:eastAsia="微软雅黑" w:cs="微软雅黑"/>
          <w:spacing w:val="14"/>
          <w:sz w:val="31"/>
          <w:szCs w:val="31"/>
        </w:rPr>
        <w:t xml:space="preserve">基于大数据与 </w:t>
      </w:r>
      <w:r>
        <w:rPr>
          <w:rFonts w:ascii="Times New Roman" w:hAnsi="Times New Roman" w:eastAsia="Times New Roman" w:cs="Times New Roman"/>
          <w:sz w:val="31"/>
          <w:szCs w:val="31"/>
        </w:rPr>
        <w:t>AI</w:t>
      </w:r>
      <w:r>
        <w:rPr>
          <w:rFonts w:ascii="Times New Roman" w:hAnsi="Times New Roman" w:eastAsia="Times New Roman" w:cs="Times New Roman"/>
          <w:spacing w:val="14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4"/>
          <w:sz w:val="31"/>
          <w:szCs w:val="31"/>
        </w:rPr>
        <w:t>技术的太湖水</w:t>
      </w:r>
      <w:r>
        <w:rPr>
          <w:rFonts w:ascii="微软雅黑" w:hAnsi="微软雅黑" w:eastAsia="微软雅黑" w:cs="微软雅黑"/>
          <w:spacing w:val="13"/>
          <w:sz w:val="31"/>
          <w:szCs w:val="31"/>
        </w:rPr>
        <w:t>生态研判与修复技术</w:t>
      </w:r>
      <w:r>
        <w:rPr>
          <w:rFonts w:ascii="微软雅黑" w:hAnsi="微软雅黑" w:eastAsia="微软雅黑" w:cs="微软雅黑"/>
          <w:spacing w:val="7"/>
          <w:sz w:val="31"/>
          <w:szCs w:val="31"/>
        </w:rPr>
        <w:t>研发</w:t>
      </w:r>
    </w:p>
    <w:p w14:paraId="5AA77963">
      <w:pPr>
        <w:pStyle w:val="2"/>
        <w:tabs>
          <w:tab w:val="left" w:pos="9130"/>
        </w:tabs>
        <w:spacing w:line="351" w:lineRule="auto"/>
        <w:ind w:left="13" w:firstLine="627"/>
        <w:jc w:val="both"/>
      </w:pPr>
      <w:r>
        <w:rPr>
          <w:b/>
          <w:bCs/>
          <w:spacing w:val="6"/>
        </w:rPr>
        <w:t>研究内容</w:t>
      </w:r>
      <w:r>
        <w:rPr>
          <w:b/>
          <w:bCs/>
          <w:spacing w:val="-7"/>
        </w:rPr>
        <w:t>：</w:t>
      </w:r>
      <w:r>
        <w:rPr>
          <w:spacing w:val="-7"/>
        </w:rPr>
        <w:t>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6"/>
        </w:rPr>
        <w:t>）研发大数据整合分析与水生态多源异构数</w:t>
      </w:r>
      <w:r>
        <w:rPr>
          <w:spacing w:val="4"/>
        </w:rPr>
        <w:t>据深度融合技术，构建人工智能支持的水生生物知识图谱，形成</w:t>
      </w:r>
      <w:r>
        <w:tab/>
      </w:r>
      <w:r>
        <w:t xml:space="preserve"> </w:t>
      </w:r>
      <w:r>
        <w:rPr>
          <w:spacing w:val="6"/>
        </w:rPr>
        <w:t>基于长期观测的太湖生物多样性空间分布演</w:t>
      </w:r>
      <w:r>
        <w:rPr>
          <w:spacing w:val="5"/>
        </w:rPr>
        <w:t>化图集</w:t>
      </w:r>
      <w:r>
        <w:rPr>
          <w:spacing w:val="-86"/>
          <w:w w:val="98"/>
        </w:rPr>
        <w:t>；（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spacing w:val="5"/>
        </w:rPr>
        <w:t>）研发太</w:t>
      </w:r>
      <w:r>
        <w:rPr>
          <w:spacing w:val="4"/>
        </w:rPr>
        <w:t>湖水生态大模型，实现氮磷负荷与水生态要素的模拟与预测，研</w:t>
      </w:r>
      <w:r>
        <w:tab/>
      </w:r>
      <w:r>
        <w:t xml:space="preserve"> </w:t>
      </w:r>
      <w:r>
        <w:rPr>
          <w:spacing w:val="15"/>
        </w:rPr>
        <w:t>判水生植被动态定量变化与中长期趋势</w:t>
      </w:r>
      <w:r>
        <w:rPr>
          <w:spacing w:val="-62"/>
        </w:rPr>
        <w:t>；（</w:t>
      </w:r>
      <w:r>
        <w:rPr>
          <w:rFonts w:ascii="Times New Roman" w:hAnsi="Times New Roman" w:eastAsia="Times New Roman" w:cs="Times New Roman"/>
          <w:spacing w:val="15"/>
        </w:rPr>
        <w:t>3</w:t>
      </w:r>
      <w:r>
        <w:rPr>
          <w:spacing w:val="15"/>
        </w:rPr>
        <w:t>）构建“感知太湖”</w:t>
      </w:r>
      <w:r>
        <w:rPr>
          <w:spacing w:val="4"/>
        </w:rPr>
        <w:t>智慧决策平台，实现水生态时空监测数据管理、模型推演、方案</w:t>
      </w:r>
      <w:r>
        <w:rPr>
          <w:spacing w:val="5"/>
        </w:rPr>
        <w:t>优化等功能</w:t>
      </w:r>
      <w:r>
        <w:rPr>
          <w:spacing w:val="-78"/>
        </w:rPr>
        <w:t>；（</w:t>
      </w:r>
      <w:r>
        <w:rPr>
          <w:rFonts w:ascii="Times New Roman" w:hAnsi="Times New Roman" w:eastAsia="Times New Roman" w:cs="Times New Roman"/>
          <w:spacing w:val="5"/>
        </w:rPr>
        <w:t>4</w:t>
      </w:r>
      <w:r>
        <w:rPr>
          <w:spacing w:val="5"/>
        </w:rPr>
        <w:t>）研究水生植物、底栖动物等种质资</w:t>
      </w:r>
      <w:r>
        <w:rPr>
          <w:spacing w:val="4"/>
        </w:rPr>
        <w:t>源本底特征与恢复潜力，突破关键物种恢复技术，支撑太湖新一轮综合治理</w:t>
      </w:r>
      <w:bookmarkStart w:id="0" w:name="_GoBack"/>
      <w:bookmarkEnd w:id="0"/>
      <w:r>
        <w:rPr>
          <w:spacing w:val="2"/>
        </w:rPr>
        <w:t>并开展技术验证。</w:t>
      </w:r>
    </w:p>
    <w:p w14:paraId="716DC20A">
      <w:pPr>
        <w:spacing w:line="351" w:lineRule="auto"/>
        <w:sectPr>
          <w:footerReference r:id="rId5" w:type="default"/>
          <w:pgSz w:w="11906" w:h="16839"/>
          <w:pgMar w:top="1431" w:right="1239" w:bottom="1780" w:left="1535" w:header="0" w:footer="1506" w:gutter="0"/>
          <w:cols w:space="720" w:num="1"/>
        </w:sectPr>
      </w:pPr>
    </w:p>
    <w:p w14:paraId="3E4F249B">
      <w:pPr>
        <w:spacing w:line="472" w:lineRule="auto"/>
        <w:rPr>
          <w:rFonts w:ascii="Arial"/>
          <w:sz w:val="21"/>
        </w:rPr>
      </w:pPr>
    </w:p>
    <w:p w14:paraId="58B0C110">
      <w:pPr>
        <w:pStyle w:val="2"/>
        <w:spacing w:before="101" w:line="351" w:lineRule="auto"/>
        <w:ind w:left="22" w:firstLine="633"/>
        <w:jc w:val="both"/>
      </w:pPr>
      <w:r>
        <w:rPr>
          <w:b/>
          <w:bCs/>
          <w:spacing w:val="-2"/>
        </w:rPr>
        <w:t>考核指标</w:t>
      </w:r>
      <w:r>
        <w:rPr>
          <w:spacing w:val="-54"/>
        </w:rPr>
        <w:t>：（</w:t>
      </w:r>
      <w:r>
        <w:rPr>
          <w:spacing w:val="-7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-2"/>
        </w:rPr>
        <w:t>）构建近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30 </w:t>
      </w:r>
      <w:r>
        <w:rPr>
          <w:spacing w:val="-2"/>
        </w:rPr>
        <w:t>年太湖水生态数据库，涵盖水位、</w:t>
      </w:r>
      <w:r>
        <w:rPr>
          <w:spacing w:val="2"/>
        </w:rPr>
        <w:t>出入湖水量、碳氮磷、水生生物等；其中，涉磷</w:t>
      </w:r>
      <w:r>
        <w:rPr>
          <w:spacing w:val="1"/>
        </w:rPr>
        <w:t>数据不少于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4000</w:t>
      </w:r>
      <w:r>
        <w:rPr>
          <w:spacing w:val="6"/>
        </w:rPr>
        <w:t>条，不少于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5 </w:t>
      </w:r>
      <w:r>
        <w:rPr>
          <w:spacing w:val="6"/>
        </w:rPr>
        <w:t>年</w:t>
      </w:r>
      <w:r>
        <w:rPr>
          <w:spacing w:val="-81"/>
          <w:w w:val="93"/>
        </w:rPr>
        <w:t>；（</w:t>
      </w:r>
      <w:r>
        <w:rPr>
          <w:rFonts w:ascii="Times New Roman" w:hAnsi="Times New Roman" w:eastAsia="Times New Roman" w:cs="Times New Roman"/>
          <w:spacing w:val="6"/>
        </w:rPr>
        <w:t>2</w:t>
      </w:r>
      <w:r>
        <w:rPr>
          <w:spacing w:val="6"/>
        </w:rPr>
        <w:t>）构建涵盖微型生物基因组及动植物数字化</w:t>
      </w:r>
      <w:r>
        <w:rPr>
          <w:spacing w:val="-1"/>
        </w:rPr>
        <w:t>物种记录的太湖长期演化图集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1"/>
        </w:rPr>
        <w:t>套，收录物种不少于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3000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1"/>
        </w:rPr>
        <w:t>种</w:t>
      </w:r>
      <w:r>
        <w:rPr>
          <w:spacing w:val="-46"/>
          <w:w w:val="53"/>
        </w:rPr>
        <w:t>；（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</w:t>
      </w:r>
      <w:r>
        <w:rPr>
          <w:spacing w:val="-10"/>
        </w:rPr>
        <w:t>构建“感知太湖”智慧决策平台，植被演变趋</w:t>
      </w:r>
      <w:r>
        <w:rPr>
          <w:spacing w:val="-11"/>
        </w:rPr>
        <w:t>势预测准确率≥</w:t>
      </w:r>
      <w:r>
        <w:rPr>
          <w:rFonts w:ascii="Times New Roman" w:hAnsi="Times New Roman" w:eastAsia="Times New Roman" w:cs="Times New Roman"/>
          <w:spacing w:val="-11"/>
        </w:rPr>
        <w:t>85%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-11"/>
        </w:rPr>
        <w:t>，</w:t>
      </w:r>
      <w:r>
        <w:rPr>
          <w:spacing w:val="2"/>
        </w:rPr>
        <w:t>不少于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3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2"/>
        </w:rPr>
        <w:t>类水生植被，年尺度模拟时长小于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1 </w:t>
      </w:r>
      <w:r>
        <w:rPr>
          <w:spacing w:val="2"/>
        </w:rPr>
        <w:t>分钟</w:t>
      </w:r>
      <w:r>
        <w:rPr>
          <w:spacing w:val="-75"/>
        </w:rPr>
        <w:t>；（</w:t>
      </w:r>
      <w:r>
        <w:rPr>
          <w:rFonts w:ascii="Times New Roman" w:hAnsi="Times New Roman" w:eastAsia="Times New Roman" w:cs="Times New Roman"/>
          <w:spacing w:val="2"/>
        </w:rPr>
        <w:t>4</w:t>
      </w:r>
      <w:r>
        <w:rPr>
          <w:spacing w:val="2"/>
        </w:rPr>
        <w:t>）研发芦</w:t>
      </w:r>
      <w:r>
        <w:rPr>
          <w:spacing w:val="3"/>
        </w:rPr>
        <w:t>苇、底栖动物等关键物种恢复技术不少于</w:t>
      </w:r>
      <w:r>
        <w:rPr>
          <w:spacing w:val="-76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</w:t>
      </w:r>
      <w:r>
        <w:rPr>
          <w:rFonts w:ascii="Times New Roman" w:hAnsi="Times New Roman" w:eastAsia="Times New Roman" w:cs="Times New Roman"/>
          <w:spacing w:val="20"/>
        </w:rPr>
        <w:t xml:space="preserve"> </w:t>
      </w:r>
      <w:r>
        <w:rPr>
          <w:spacing w:val="3"/>
        </w:rPr>
        <w:t>项</w:t>
      </w:r>
      <w:r>
        <w:rPr>
          <w:spacing w:val="2"/>
        </w:rPr>
        <w:t>，在太湖至少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1 </w:t>
      </w:r>
      <w:r>
        <w:rPr>
          <w:spacing w:val="2"/>
        </w:rPr>
        <w:t>个</w:t>
      </w:r>
      <w:r>
        <w:rPr>
          <w:spacing w:val="4"/>
        </w:rPr>
        <w:t>典型区域开展工程验证与示范</w:t>
      </w:r>
      <w:r>
        <w:rPr>
          <w:spacing w:val="-69"/>
        </w:rPr>
        <w:t>；（</w:t>
      </w:r>
      <w:r>
        <w:rPr>
          <w:rFonts w:ascii="Times New Roman" w:hAnsi="Times New Roman" w:eastAsia="Times New Roman" w:cs="Times New Roman"/>
          <w:spacing w:val="4"/>
        </w:rPr>
        <w:t>5</w:t>
      </w:r>
      <w:r>
        <w:rPr>
          <w:spacing w:val="4"/>
        </w:rPr>
        <w:t>）申请发明专利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 xml:space="preserve">2 </w:t>
      </w:r>
      <w:r>
        <w:rPr>
          <w:spacing w:val="4"/>
        </w:rPr>
        <w:t>项，软件著</w:t>
      </w:r>
      <w:r>
        <w:rPr>
          <w:spacing w:val="-9"/>
        </w:rPr>
        <w:t>作权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1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9"/>
        </w:rPr>
        <w:t>件。</w:t>
      </w:r>
    </w:p>
    <w:p w14:paraId="3455D523">
      <w:pPr>
        <w:spacing w:line="410" w:lineRule="exact"/>
        <w:ind w:left="65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position w:val="1"/>
          <w:sz w:val="31"/>
          <w:szCs w:val="31"/>
        </w:rPr>
        <w:t>组织方式：与省生态环境厅共同组织</w:t>
      </w:r>
    </w:p>
    <w:p w14:paraId="33C63430">
      <w:pPr>
        <w:spacing w:before="186" w:line="201" w:lineRule="auto"/>
        <w:ind w:left="65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3002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工业集聚区含氟污染物防控关键技术研发</w:t>
      </w:r>
    </w:p>
    <w:p w14:paraId="04938269">
      <w:pPr>
        <w:pStyle w:val="2"/>
        <w:spacing w:before="149" w:line="350" w:lineRule="auto"/>
        <w:ind w:left="42" w:right="94" w:firstLine="611"/>
      </w:pPr>
      <w:r>
        <w:rPr>
          <w:b/>
          <w:bCs/>
          <w:spacing w:val="6"/>
        </w:rPr>
        <w:t>研究内容</w:t>
      </w:r>
      <w:r>
        <w:rPr>
          <w:b/>
          <w:bCs/>
          <w:spacing w:val="-10"/>
        </w:rPr>
        <w:t>：</w:t>
      </w:r>
      <w:r>
        <w:rPr>
          <w:spacing w:val="-10"/>
        </w:rPr>
        <w:t>（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spacing w:val="6"/>
        </w:rPr>
        <w:t>）在含氟污染物环境风险集聚区域，开展全</w:t>
      </w:r>
      <w:r>
        <w:rPr>
          <w:spacing w:val="4"/>
        </w:rPr>
        <w:t>氟化合物风险因子识别与综合溯源解析，研发多</w:t>
      </w:r>
      <w:r>
        <w:rPr>
          <w:spacing w:val="3"/>
        </w:rPr>
        <w:t>级耦合的新型含</w:t>
      </w:r>
      <w:r>
        <w:rPr>
          <w:spacing w:val="7"/>
        </w:rPr>
        <w:t>氟废水无机氟源头减排技术，开发含氟污泥</w:t>
      </w:r>
      <w:r>
        <w:rPr>
          <w:spacing w:val="6"/>
        </w:rPr>
        <w:t>资源化利用新工艺；</w:t>
      </w:r>
    </w:p>
    <w:p w14:paraId="1E33514E">
      <w:pPr>
        <w:pStyle w:val="2"/>
        <w:spacing w:before="3" w:line="351" w:lineRule="auto"/>
        <w:ind w:left="41" w:right="73" w:hanging="42"/>
      </w:pPr>
      <w:r>
        <w:rPr>
          <w:spacing w:val="11"/>
        </w:rPr>
        <w:t>（</w:t>
      </w:r>
      <w:r>
        <w:rPr>
          <w:rFonts w:ascii="Times New Roman" w:hAnsi="Times New Roman" w:eastAsia="Times New Roman" w:cs="Times New Roman"/>
          <w:spacing w:val="11"/>
        </w:rPr>
        <w:t>2</w:t>
      </w:r>
      <w:r>
        <w:rPr>
          <w:spacing w:val="11"/>
        </w:rPr>
        <w:t>）突破全氟化合物减毒治理技术，建立治</w:t>
      </w:r>
      <w:r>
        <w:rPr>
          <w:spacing w:val="10"/>
        </w:rPr>
        <w:t>理材料制备优化方</w:t>
      </w:r>
      <w:r>
        <w:rPr>
          <w:spacing w:val="-4"/>
        </w:rPr>
        <w:t>法，开发高效、低耗、可规模化应用的污染削减治理技术和装备；</w:t>
      </w:r>
    </w:p>
    <w:p w14:paraId="4157B630">
      <w:pPr>
        <w:pStyle w:val="2"/>
        <w:spacing w:before="2" w:line="351" w:lineRule="auto"/>
        <w:ind w:left="30" w:right="179" w:hanging="30"/>
      </w:pPr>
      <w:r>
        <w:rPr>
          <w:spacing w:val="11"/>
        </w:rPr>
        <w:t>（</w:t>
      </w:r>
      <w:r>
        <w:rPr>
          <w:rFonts w:ascii="Times New Roman" w:hAnsi="Times New Roman" w:eastAsia="Times New Roman" w:cs="Times New Roman"/>
          <w:spacing w:val="11"/>
        </w:rPr>
        <w:t>3</w:t>
      </w:r>
      <w:r>
        <w:rPr>
          <w:spacing w:val="11"/>
        </w:rPr>
        <w:t>）在工业集聚区开展治理技术示范，形成</w:t>
      </w:r>
      <w:r>
        <w:rPr>
          <w:spacing w:val="10"/>
        </w:rPr>
        <w:t>含氟污染物风险管</w:t>
      </w:r>
      <w:r>
        <w:rPr>
          <w:spacing w:val="4"/>
        </w:rPr>
        <w:t>控技术体系。</w:t>
      </w:r>
    </w:p>
    <w:p w14:paraId="31C6D405">
      <w:pPr>
        <w:pStyle w:val="2"/>
        <w:spacing w:before="5" w:line="350" w:lineRule="auto"/>
        <w:ind w:left="32" w:right="170" w:firstLine="624"/>
        <w:jc w:val="both"/>
        <w:rPr>
          <w:spacing w:val="-1"/>
        </w:rPr>
      </w:pPr>
      <w:r>
        <w:rPr>
          <w:b/>
          <w:bCs/>
          <w:spacing w:val="6"/>
        </w:rPr>
        <w:t>考核指标</w:t>
      </w:r>
      <w:r>
        <w:rPr>
          <w:spacing w:val="-6"/>
        </w:rPr>
        <w:t>：（</w:t>
      </w:r>
      <w:r>
        <w:rPr>
          <w:spacing w:val="-78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6"/>
        </w:rPr>
        <w:t>）开发典型涉氟园区氟化物污染溯源解析技</w:t>
      </w:r>
      <w:r>
        <w:rPr>
          <w:spacing w:val="15"/>
        </w:rPr>
        <w:t>术</w:t>
      </w:r>
      <w:r>
        <w:rPr>
          <w:spacing w:val="-58"/>
        </w:rPr>
        <w:t>；（</w:t>
      </w:r>
      <w:r>
        <w:rPr>
          <w:rFonts w:ascii="Times New Roman" w:hAnsi="Times New Roman" w:eastAsia="Times New Roman" w:cs="Times New Roman"/>
          <w:spacing w:val="15"/>
        </w:rPr>
        <w:t>2</w:t>
      </w:r>
      <w:r>
        <w:rPr>
          <w:spacing w:val="15"/>
        </w:rPr>
        <w:t>）开发无机氟多级耦合深度除氟工艺，氟化物浓度降低</w:t>
      </w:r>
      <w:r>
        <w:rPr>
          <w:spacing w:val="7"/>
        </w:rPr>
        <w:t>至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 xml:space="preserve">1.5 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7"/>
        </w:rPr>
        <w:t>/L</w:t>
      </w:r>
      <w:r>
        <w:rPr>
          <w:rFonts w:ascii="Times New Roman" w:hAnsi="Times New Roman" w:eastAsia="Times New Roman" w:cs="Times New Roman"/>
          <w:spacing w:val="59"/>
        </w:rPr>
        <w:t xml:space="preserve"> </w:t>
      </w:r>
      <w:r>
        <w:rPr>
          <w:spacing w:val="7"/>
        </w:rPr>
        <w:t>以下，含氟污泥提纯纯度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95%</w:t>
      </w:r>
      <w:r>
        <w:rPr>
          <w:spacing w:val="7"/>
        </w:rPr>
        <w:t>以上</w:t>
      </w:r>
      <w:r>
        <w:rPr>
          <w:spacing w:val="-56"/>
        </w:rPr>
        <w:t>；（</w:t>
      </w:r>
      <w:r>
        <w:rPr>
          <w:rFonts w:ascii="Times New Roman" w:hAnsi="Times New Roman" w:eastAsia="Times New Roman" w:cs="Times New Roman"/>
          <w:spacing w:val="7"/>
        </w:rPr>
        <w:t>3</w:t>
      </w:r>
      <w:r>
        <w:rPr>
          <w:spacing w:val="7"/>
        </w:rPr>
        <w:t>）研发全氟</w:t>
      </w:r>
      <w:r>
        <w:rPr>
          <w:spacing w:val="2"/>
        </w:rPr>
        <w:t>化合物高效治理材料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2"/>
        </w:rPr>
        <w:t>种，研制治理装备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2"/>
        </w:rPr>
        <w:t>套，处理规模不低于</w:t>
      </w:r>
      <w:r>
        <w:rPr>
          <w:rFonts w:ascii="Times New Roman" w:hAnsi="Times New Roman" w:eastAsia="Times New Roman" w:cs="Times New Roman"/>
          <w:spacing w:val="9"/>
        </w:rPr>
        <w:t>5</w:t>
      </w:r>
      <w:r>
        <w:rPr>
          <w:spacing w:val="9"/>
        </w:rPr>
        <w:t>吨</w:t>
      </w:r>
      <w:r>
        <w:rPr>
          <w:rFonts w:ascii="Times New Roman" w:hAnsi="Times New Roman" w:eastAsia="Times New Roman" w:cs="Times New Roman"/>
          <w:spacing w:val="9"/>
        </w:rPr>
        <w:t>/</w:t>
      </w:r>
      <w:r>
        <w:rPr>
          <w:spacing w:val="9"/>
        </w:rPr>
        <w:t>天，企业应用场景去除率稳定≥</w:t>
      </w:r>
      <w:r>
        <w:rPr>
          <w:rFonts w:ascii="Times New Roman" w:hAnsi="Times New Roman" w:eastAsia="Times New Roman" w:cs="Times New Roman"/>
          <w:spacing w:val="9"/>
        </w:rPr>
        <w:t>90%</w:t>
      </w:r>
      <w:r>
        <w:rPr>
          <w:rFonts w:ascii="Times New Roman" w:hAnsi="Times New Roman" w:eastAsia="Times New Roman" w:cs="Times New Roman"/>
          <w:spacing w:val="-20"/>
        </w:rPr>
        <w:t xml:space="preserve"> </w:t>
      </w:r>
      <w:r>
        <w:rPr>
          <w:spacing w:val="-60"/>
        </w:rPr>
        <w:t>；（</w:t>
      </w:r>
      <w:r>
        <w:rPr>
          <w:rFonts w:ascii="Times New Roman" w:hAnsi="Times New Roman" w:eastAsia="Times New Roman" w:cs="Times New Roman"/>
          <w:spacing w:val="9"/>
        </w:rPr>
        <w:t>4</w:t>
      </w:r>
      <w:r>
        <w:rPr>
          <w:spacing w:val="9"/>
        </w:rPr>
        <w:t>）制定技术规范</w:t>
      </w:r>
      <w:r>
        <w:rPr>
          <w:rFonts w:ascii="Times New Roman" w:hAnsi="Times New Roman" w:eastAsia="Times New Roman" w:cs="Times New Roman"/>
          <w:spacing w:val="9"/>
        </w:rPr>
        <w:t>/</w:t>
      </w:r>
      <w:r>
        <w:rPr>
          <w:spacing w:val="-1"/>
        </w:rPr>
        <w:t>技术指南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rFonts w:ascii="Times New Roman" w:hAnsi="Times New Roman" w:eastAsia="Times New Roman" w:cs="Times New Roman"/>
          <w:spacing w:val="20"/>
        </w:rPr>
        <w:t xml:space="preserve"> </w:t>
      </w:r>
      <w:r>
        <w:rPr>
          <w:spacing w:val="-1"/>
        </w:rPr>
        <w:t>项，申请发明专利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1"/>
        </w:rPr>
        <w:t>项。</w:t>
      </w:r>
    </w:p>
    <w:p w14:paraId="76E4A577">
      <w:pPr>
        <w:spacing w:line="410" w:lineRule="exact"/>
        <w:ind w:firstLine="636" w:firstLineChars="200"/>
        <w:rPr>
          <w:rFonts w:ascii="黑体" w:hAnsi="黑体" w:eastAsia="黑体" w:cs="黑体"/>
          <w:spacing w:val="4"/>
          <w:position w:val="1"/>
          <w:sz w:val="31"/>
          <w:szCs w:val="31"/>
        </w:rPr>
      </w:pPr>
      <w:r>
        <w:rPr>
          <w:rFonts w:ascii="黑体" w:hAnsi="黑体" w:eastAsia="黑体" w:cs="黑体"/>
          <w:spacing w:val="4"/>
          <w:position w:val="1"/>
          <w:sz w:val="31"/>
          <w:szCs w:val="31"/>
        </w:rPr>
        <w:t>组织方式：与省生态环境厅共同组织</w:t>
      </w:r>
    </w:p>
    <w:p w14:paraId="0DDF21E3">
      <w:pPr>
        <w:spacing w:line="410" w:lineRule="exact"/>
        <w:ind w:firstLine="636" w:firstLineChars="200"/>
        <w:rPr>
          <w:rFonts w:ascii="黑体" w:hAnsi="黑体" w:eastAsia="黑体" w:cs="黑体"/>
          <w:spacing w:val="4"/>
          <w:position w:val="1"/>
          <w:sz w:val="31"/>
          <w:szCs w:val="31"/>
        </w:rPr>
      </w:pPr>
    </w:p>
    <w:p w14:paraId="132063DA">
      <w:pPr>
        <w:spacing w:before="188" w:line="201" w:lineRule="auto"/>
        <w:ind w:left="63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3003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工业企业重大事故隐患智能辨识关键技术研发</w:t>
      </w:r>
    </w:p>
    <w:p w14:paraId="44BEAD53">
      <w:pPr>
        <w:pStyle w:val="2"/>
        <w:spacing w:before="147" w:line="351" w:lineRule="auto"/>
        <w:ind w:left="13" w:firstLine="627"/>
      </w:pPr>
      <w:r>
        <w:rPr>
          <w:b/>
          <w:bCs/>
          <w:spacing w:val="6"/>
        </w:rPr>
        <w:t>研究内容</w:t>
      </w:r>
      <w:r>
        <w:rPr>
          <w:b/>
          <w:bCs/>
          <w:spacing w:val="-7"/>
        </w:rPr>
        <w:t>：</w:t>
      </w:r>
      <w:r>
        <w:rPr>
          <w:spacing w:val="-7"/>
        </w:rPr>
        <w:t>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6"/>
        </w:rPr>
        <w:t>）聚焦化工、冶金、粉尘涉爆等高危行业重</w:t>
      </w:r>
      <w:r>
        <w:rPr>
          <w:spacing w:val="4"/>
        </w:rPr>
        <w:t>大事故隐患识别需求，拆解隐患条款特征要素，建立标准与多模</w:t>
      </w:r>
      <w:r>
        <w:rPr>
          <w:spacing w:val="5"/>
        </w:rPr>
        <w:t>态数据的关联映射体系</w:t>
      </w:r>
      <w:r>
        <w:rPr>
          <w:spacing w:val="-78"/>
        </w:rPr>
        <w:t>；（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spacing w:val="5"/>
        </w:rPr>
        <w:t>）构建主流工业协议自学</w:t>
      </w:r>
      <w:r>
        <w:rPr>
          <w:spacing w:val="4"/>
        </w:rPr>
        <w:t>习模型，实现异构协议动态解析，研制工业数据标识注册标准，形成重点行</w:t>
      </w:r>
      <w:r>
        <w:rPr>
          <w:spacing w:val="5"/>
        </w:rPr>
        <w:t>业隐患标注数据集</w:t>
      </w:r>
      <w:r>
        <w:rPr>
          <w:spacing w:val="-35"/>
        </w:rPr>
        <w:t>；（</w:t>
      </w:r>
      <w:r>
        <w:rPr>
          <w:rFonts w:ascii="Times New Roman" w:hAnsi="Times New Roman" w:eastAsia="Times New Roman" w:cs="Times New Roman"/>
          <w:spacing w:val="5"/>
        </w:rPr>
        <w:t>3</w:t>
      </w:r>
      <w:r>
        <w:rPr>
          <w:spacing w:val="5"/>
        </w:rPr>
        <w:t>）突破跨模态特征提取与知识推理技术，</w:t>
      </w:r>
      <w:r>
        <w:rPr>
          <w:spacing w:val="4"/>
        </w:rPr>
        <w:t>搭建风险评估模型与知识图谱，开发轻量化隐患识别模型，开展</w:t>
      </w:r>
      <w:r>
        <w:rPr>
          <w:spacing w:val="3"/>
        </w:rPr>
        <w:t>场景验证，优化形成可推广方案。</w:t>
      </w:r>
    </w:p>
    <w:p w14:paraId="14D2D758">
      <w:pPr>
        <w:pStyle w:val="2"/>
        <w:spacing w:before="5" w:line="350" w:lineRule="auto"/>
        <w:ind w:left="32" w:right="170" w:firstLine="624"/>
        <w:jc w:val="both"/>
        <w:rPr>
          <w:spacing w:val="2"/>
        </w:rPr>
      </w:pPr>
      <w:r>
        <w:rPr>
          <w:b/>
          <w:bCs/>
          <w:spacing w:val="2"/>
        </w:rPr>
        <w:t>考核指标</w:t>
      </w:r>
      <w:r>
        <w:rPr>
          <w:spacing w:val="-6"/>
        </w:rPr>
        <w:t>：（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1 </w:t>
      </w:r>
      <w:r>
        <w:rPr>
          <w:spacing w:val="2"/>
        </w:rPr>
        <w:t>）实现超过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8</w:t>
      </w:r>
      <w:r>
        <w:rPr>
          <w:rFonts w:ascii="Times New Roman" w:hAnsi="Times New Roman" w:eastAsia="Times New Roman" w:cs="Times New Roman"/>
          <w:spacing w:val="38"/>
        </w:rPr>
        <w:t xml:space="preserve"> </w:t>
      </w:r>
      <w:r>
        <w:rPr>
          <w:spacing w:val="2"/>
        </w:rPr>
        <w:t>类多模态数据的统一接入，数</w:t>
      </w:r>
      <w:r>
        <w:rPr>
          <w:spacing w:val="9"/>
        </w:rPr>
        <w:t>据融合处理时延≤</w:t>
      </w:r>
      <w:r>
        <w:rPr>
          <w:rFonts w:ascii="Times New Roman" w:hAnsi="Times New Roman" w:eastAsia="Times New Roman" w:cs="Times New Roman"/>
          <w:spacing w:val="9"/>
        </w:rPr>
        <w:t>500</w:t>
      </w:r>
      <w:r>
        <w:rPr>
          <w:rFonts w:ascii="Times New Roman" w:hAnsi="Times New Roman" w:eastAsia="Times New Roman" w:cs="Times New Roman"/>
          <w:spacing w:val="42"/>
        </w:rPr>
        <w:t xml:space="preserve"> </w:t>
      </w:r>
      <w:r>
        <w:rPr>
          <w:spacing w:val="9"/>
        </w:rPr>
        <w:t>毫秒</w:t>
      </w:r>
      <w:r>
        <w:rPr>
          <w:spacing w:val="-62"/>
        </w:rPr>
        <w:t>；（</w:t>
      </w:r>
      <w:r>
        <w:rPr>
          <w:rFonts w:ascii="Times New Roman" w:hAnsi="Times New Roman" w:eastAsia="Times New Roman" w:cs="Times New Roman"/>
          <w:spacing w:val="9"/>
        </w:rPr>
        <w:t>2</w:t>
      </w:r>
      <w:r>
        <w:rPr>
          <w:spacing w:val="9"/>
        </w:rPr>
        <w:t>）覆盖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20</w:t>
      </w:r>
      <w:r>
        <w:rPr>
          <w:rFonts w:ascii="Times New Roman" w:hAnsi="Times New Roman" w:eastAsia="Times New Roman" w:cs="Times New Roman"/>
          <w:spacing w:val="38"/>
          <w:w w:val="101"/>
        </w:rPr>
        <w:t xml:space="preserve"> </w:t>
      </w:r>
      <w:r>
        <w:rPr>
          <w:spacing w:val="9"/>
        </w:rPr>
        <w:t>类以上</w:t>
      </w:r>
      <w:r>
        <w:rPr>
          <w:spacing w:val="8"/>
        </w:rPr>
        <w:t>重大事故隐患</w:t>
      </w:r>
      <w:r>
        <w:rPr>
          <w:spacing w:val="6"/>
        </w:rPr>
        <w:t>类型，分类识别准确率≥</w:t>
      </w:r>
      <w:r>
        <w:rPr>
          <w:rFonts w:ascii="Times New Roman" w:hAnsi="Times New Roman" w:eastAsia="Times New Roman" w:cs="Times New Roman"/>
          <w:spacing w:val="6"/>
        </w:rPr>
        <w:t>95%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6"/>
        </w:rPr>
        <w:t>，模型识别响应时间≤</w:t>
      </w:r>
      <w:r>
        <w:rPr>
          <w:rFonts w:ascii="Times New Roman" w:hAnsi="Times New Roman" w:eastAsia="Times New Roman" w:cs="Times New Roman"/>
          <w:spacing w:val="6"/>
        </w:rPr>
        <w:t>2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5"/>
        </w:rPr>
        <w:t>秒，误报</w:t>
      </w:r>
      <w:r>
        <w:rPr>
          <w:spacing w:val="7"/>
        </w:rPr>
        <w:t>率≤</w:t>
      </w:r>
      <w:r>
        <w:rPr>
          <w:rFonts w:ascii="Times New Roman" w:hAnsi="Times New Roman" w:eastAsia="Times New Roman" w:cs="Times New Roman"/>
          <w:spacing w:val="7"/>
        </w:rPr>
        <w:t>3%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-54"/>
        </w:rPr>
        <w:t>；（</w:t>
      </w:r>
      <w:r>
        <w:rPr>
          <w:rFonts w:ascii="Times New Roman" w:hAnsi="Times New Roman" w:eastAsia="Times New Roman" w:cs="Times New Roman"/>
          <w:spacing w:val="7"/>
        </w:rPr>
        <w:t>3</w:t>
      </w:r>
      <w:r>
        <w:rPr>
          <w:spacing w:val="7"/>
        </w:rPr>
        <w:t>）完成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3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7"/>
        </w:rPr>
        <w:t>家以上企业试点验证，本地化部署边缘计</w:t>
      </w:r>
      <w:r>
        <w:rPr>
          <w:spacing w:val="-3"/>
        </w:rPr>
        <w:t>算单机设备可接入≥</w:t>
      </w:r>
      <w:r>
        <w:rPr>
          <w:rFonts w:ascii="Times New Roman" w:hAnsi="Times New Roman" w:eastAsia="Times New Roman" w:cs="Times New Roman"/>
          <w:spacing w:val="-3"/>
        </w:rPr>
        <w:t>10</w:t>
      </w:r>
      <w:r>
        <w:rPr>
          <w:rFonts w:ascii="Times New Roman" w:hAnsi="Times New Roman" w:eastAsia="Times New Roman" w:cs="Times New Roman"/>
          <w:spacing w:val="33"/>
          <w:w w:val="101"/>
        </w:rPr>
        <w:t xml:space="preserve"> </w:t>
      </w:r>
      <w:r>
        <w:rPr>
          <w:spacing w:val="-3"/>
        </w:rPr>
        <w:t>万测点，数据采集周期支持</w:t>
      </w:r>
      <w:r>
        <w:rPr>
          <w:spacing w:val="-4"/>
        </w:rPr>
        <w:t>≤</w:t>
      </w:r>
      <w:r>
        <w:rPr>
          <w:rFonts w:ascii="Times New Roman" w:hAnsi="Times New Roman" w:eastAsia="Times New Roman" w:cs="Times New Roman"/>
          <w:spacing w:val="-4"/>
        </w:rPr>
        <w:t>10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4"/>
        </w:rPr>
        <w:t>毫秒，连</w:t>
      </w:r>
      <w:r>
        <w:rPr>
          <w:spacing w:val="5"/>
        </w:rPr>
        <w:t>续运行故障率≤</w:t>
      </w:r>
      <w:r>
        <w:rPr>
          <w:rFonts w:ascii="Times New Roman" w:hAnsi="Times New Roman" w:eastAsia="Times New Roman" w:cs="Times New Roman"/>
          <w:spacing w:val="5"/>
        </w:rPr>
        <w:t>0.01%</w:t>
      </w:r>
      <w:r>
        <w:rPr>
          <w:spacing w:val="-38"/>
        </w:rPr>
        <w:t>；（</w:t>
      </w:r>
      <w:r>
        <w:rPr>
          <w:rFonts w:ascii="Times New Roman" w:hAnsi="Times New Roman" w:eastAsia="Times New Roman" w:cs="Times New Roman"/>
          <w:spacing w:val="5"/>
        </w:rPr>
        <w:t>4</w:t>
      </w:r>
      <w:r>
        <w:rPr>
          <w:spacing w:val="5"/>
        </w:rPr>
        <w:t>）编制重大事故隐患判定图</w:t>
      </w:r>
      <w:r>
        <w:rPr>
          <w:spacing w:val="4"/>
        </w:rPr>
        <w:t>鉴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 xml:space="preserve">1 </w:t>
      </w:r>
      <w:r>
        <w:rPr>
          <w:spacing w:val="4"/>
        </w:rPr>
        <w:t>套，</w:t>
      </w:r>
      <w:r>
        <w:rPr>
          <w:spacing w:val="2"/>
        </w:rPr>
        <w:t>申请发明专利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2"/>
        </w:rPr>
        <w:t>项，制修订国家、行业或地方标准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2"/>
        </w:rPr>
        <w:t>项。</w:t>
      </w:r>
    </w:p>
    <w:p w14:paraId="58D33635">
      <w:pPr>
        <w:pStyle w:val="2"/>
        <w:spacing w:before="5" w:line="350" w:lineRule="auto"/>
        <w:ind w:right="170" w:firstLine="636" w:firstLineChars="200"/>
        <w:jc w:val="both"/>
        <w:rPr>
          <w:rFonts w:ascii="黑体" w:hAnsi="黑体" w:eastAsia="黑体" w:cs="黑体"/>
          <w:spacing w:val="4"/>
          <w:position w:val="1"/>
          <w:sz w:val="31"/>
          <w:szCs w:val="31"/>
        </w:rPr>
      </w:pPr>
      <w:r>
        <w:rPr>
          <w:rFonts w:ascii="黑体" w:hAnsi="黑体" w:eastAsia="黑体" w:cs="黑体"/>
          <w:spacing w:val="4"/>
          <w:position w:val="1"/>
          <w:sz w:val="31"/>
          <w:szCs w:val="31"/>
        </w:rPr>
        <w:t>组织方式：与省应急管理厅共同组织</w:t>
      </w:r>
    </w:p>
    <w:p w14:paraId="51F4BCBD">
      <w:pPr>
        <w:spacing w:line="411" w:lineRule="exact"/>
        <w:ind w:firstLine="984" w:firstLineChars="30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9"/>
          <w:sz w:val="31"/>
          <w:szCs w:val="31"/>
        </w:rPr>
        <w:t xml:space="preserve">3004  </w:t>
      </w:r>
      <w:r>
        <w:rPr>
          <w:rFonts w:ascii="微软雅黑" w:hAnsi="微软雅黑" w:eastAsia="微软雅黑" w:cs="微软雅黑"/>
          <w:spacing w:val="9"/>
          <w:sz w:val="31"/>
          <w:szCs w:val="31"/>
        </w:rPr>
        <w:t>危化品生产储运全链条风险感知与应急处置关键技术</w:t>
      </w:r>
      <w:r>
        <w:rPr>
          <w:rFonts w:ascii="微软雅黑" w:hAnsi="微软雅黑" w:eastAsia="微软雅黑" w:cs="微软雅黑"/>
          <w:spacing w:val="7"/>
          <w:sz w:val="31"/>
          <w:szCs w:val="31"/>
        </w:rPr>
        <w:t>研发</w:t>
      </w:r>
    </w:p>
    <w:p w14:paraId="4A933F14">
      <w:pPr>
        <w:pStyle w:val="2"/>
        <w:spacing w:before="1" w:line="242" w:lineRule="auto"/>
        <w:ind w:left="641"/>
      </w:pPr>
      <w:r>
        <w:rPr>
          <w:b/>
          <w:bCs/>
          <w:spacing w:val="6"/>
        </w:rPr>
        <w:t>研究内容</w:t>
      </w:r>
      <w:r>
        <w:rPr>
          <w:b/>
          <w:bCs/>
          <w:spacing w:val="-8"/>
        </w:rPr>
        <w:t>：</w:t>
      </w:r>
      <w:r>
        <w:rPr>
          <w:spacing w:val="-8"/>
        </w:rPr>
        <w:t>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spacing w:val="6"/>
        </w:rPr>
        <w:t>）研究复杂工艺条件下危化品早期泄漏征兆</w:t>
      </w:r>
    </w:p>
    <w:p w14:paraId="60CEC422">
      <w:pPr>
        <w:pStyle w:val="2"/>
        <w:spacing w:before="5" w:line="350" w:lineRule="auto"/>
        <w:ind w:left="32" w:right="170" w:firstLine="624"/>
        <w:jc w:val="both"/>
        <w:rPr>
          <w:spacing w:val="2"/>
        </w:rPr>
        <w:sectPr>
          <w:footerReference r:id="rId6" w:type="default"/>
          <w:pgSz w:w="11906" w:h="16839"/>
          <w:pgMar w:top="1431" w:right="1377" w:bottom="1780" w:left="1521" w:header="0" w:footer="1506" w:gutter="0"/>
          <w:cols w:space="720" w:num="1"/>
        </w:sectPr>
      </w:pPr>
    </w:p>
    <w:p w14:paraId="0BD8942B">
      <w:pPr>
        <w:pStyle w:val="2"/>
        <w:spacing w:before="101" w:line="351" w:lineRule="auto"/>
        <w:jc w:val="both"/>
      </w:pPr>
      <w:r>
        <w:rPr>
          <w:spacing w:val="4"/>
        </w:rPr>
        <w:t>柔性传感探测技术，研制应对危化品生产和储运环节多风险叠加</w:t>
      </w:r>
      <w:r>
        <w:rPr>
          <w:spacing w:val="5"/>
        </w:rPr>
        <w:t>下的重大事故隐患极早期监测预警技术，研制异常感知与识别装</w:t>
      </w:r>
      <w:r>
        <w:rPr>
          <w:spacing w:val="8"/>
        </w:rPr>
        <w:t>备</w:t>
      </w:r>
      <w:r>
        <w:rPr>
          <w:spacing w:val="-79"/>
          <w:w w:val="90"/>
        </w:rPr>
        <w:t>；（</w:t>
      </w:r>
      <w:r>
        <w:rPr>
          <w:rFonts w:ascii="Times New Roman" w:hAnsi="Times New Roman" w:eastAsia="Times New Roman" w:cs="Times New Roman"/>
          <w:spacing w:val="8"/>
        </w:rPr>
        <w:t>2</w:t>
      </w:r>
      <w:r>
        <w:rPr>
          <w:spacing w:val="8"/>
        </w:rPr>
        <w:t>）研究典型高危工艺化工装置运行态势实时动态风险评估</w:t>
      </w:r>
      <w:r>
        <w:rPr>
          <w:spacing w:val="-2"/>
        </w:rPr>
        <w:t>技术，实现反应失控、泄漏、设备故障的多级阈值早期精准预警；</w:t>
      </w:r>
      <w:r>
        <w:rPr>
          <w:spacing w:val="4"/>
        </w:rPr>
        <w:t xml:space="preserve"> </w:t>
      </w:r>
      <w:r>
        <w:t>（</w:t>
      </w:r>
      <w:r>
        <w:rPr>
          <w:rFonts w:ascii="Times New Roman" w:hAnsi="Times New Roman" w:eastAsia="Times New Roman" w:cs="Times New Roman"/>
        </w:rPr>
        <w:t>3</w:t>
      </w:r>
      <w:r>
        <w:t>）研究危化品泄漏、燃爆事故隐患特征及其耦合致灾路径推演</w:t>
      </w:r>
      <w:r>
        <w:rPr>
          <w:spacing w:val="6"/>
        </w:rPr>
        <w:t>技术</w:t>
      </w:r>
      <w:r>
        <w:rPr>
          <w:spacing w:val="-78"/>
        </w:rPr>
        <w:t>；（</w:t>
      </w:r>
      <w:r>
        <w:rPr>
          <w:rFonts w:ascii="Times New Roman" w:hAnsi="Times New Roman" w:eastAsia="Times New Roman" w:cs="Times New Roman"/>
          <w:spacing w:val="6"/>
        </w:rPr>
        <w:t>4</w:t>
      </w:r>
      <w:r>
        <w:rPr>
          <w:spacing w:val="6"/>
        </w:rPr>
        <w:t>）研制智能应急救援规划与执行控制系</w:t>
      </w:r>
      <w:r>
        <w:rPr>
          <w:spacing w:val="5"/>
        </w:rPr>
        <w:t>统，针对泄漏气体开展自动检测和应急处置。</w:t>
      </w:r>
    </w:p>
    <w:p w14:paraId="355B8B5F">
      <w:pPr>
        <w:pStyle w:val="2"/>
        <w:spacing w:line="351" w:lineRule="auto"/>
        <w:ind w:left="24" w:right="96" w:firstLine="632"/>
        <w:jc w:val="both"/>
      </w:pPr>
      <w:r>
        <w:rPr>
          <w:b/>
          <w:bCs/>
          <w:spacing w:val="4"/>
        </w:rPr>
        <w:t>考核指标</w:t>
      </w:r>
      <w:r>
        <w:rPr>
          <w:spacing w:val="-8"/>
        </w:rPr>
        <w:t>：（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spacing w:val="4"/>
        </w:rPr>
        <w:t>）研制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5</w:t>
      </w:r>
      <w:r>
        <w:rPr>
          <w:rFonts w:ascii="Times New Roman" w:hAnsi="Times New Roman" w:eastAsia="Times New Roman" w:cs="Times New Roman"/>
          <w:spacing w:val="38"/>
        </w:rPr>
        <w:t xml:space="preserve"> </w:t>
      </w:r>
      <w:r>
        <w:rPr>
          <w:spacing w:val="4"/>
        </w:rPr>
        <w:t>类以上危化品极早期微</w:t>
      </w:r>
      <w:r>
        <w:rPr>
          <w:spacing w:val="3"/>
        </w:rPr>
        <w:t>征兆隐患辨</w:t>
      </w:r>
      <w:r>
        <w:rPr>
          <w:spacing w:val="4"/>
        </w:rPr>
        <w:t>识方法，研发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2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4"/>
        </w:rPr>
        <w:t>种以上典型高危工艺化工装置</w:t>
      </w:r>
      <w:r>
        <w:rPr>
          <w:spacing w:val="3"/>
        </w:rPr>
        <w:t>运行风险多阈值预警模型，研究不少于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3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3"/>
        </w:rPr>
        <w:t>种隐患致灾路径推演技术，燃爆风险耦合</w:t>
      </w:r>
      <w:r>
        <w:rPr>
          <w:spacing w:val="10"/>
        </w:rPr>
        <w:t>推演准确度≥</w:t>
      </w:r>
      <w:r>
        <w:rPr>
          <w:rFonts w:ascii="Times New Roman" w:hAnsi="Times New Roman" w:eastAsia="Times New Roman" w:cs="Times New Roman"/>
          <w:spacing w:val="10"/>
        </w:rPr>
        <w:t>95%</w:t>
      </w:r>
      <w:r>
        <w:rPr>
          <w:rFonts w:ascii="Times New Roman" w:hAnsi="Times New Roman" w:eastAsia="Times New Roman" w:cs="Times New Roman"/>
          <w:spacing w:val="-14"/>
        </w:rPr>
        <w:t xml:space="preserve"> </w:t>
      </w:r>
      <w:r>
        <w:rPr>
          <w:spacing w:val="10"/>
        </w:rPr>
        <w:t>，关键参数动态平均误差≤</w:t>
      </w:r>
      <w:r>
        <w:rPr>
          <w:rFonts w:ascii="Times New Roman" w:hAnsi="Times New Roman" w:eastAsia="Times New Roman" w:cs="Times New Roman"/>
          <w:spacing w:val="10"/>
        </w:rPr>
        <w:t>5%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-57"/>
        </w:rPr>
        <w:t>；（</w:t>
      </w:r>
      <w:r>
        <w:rPr>
          <w:rFonts w:ascii="Times New Roman" w:hAnsi="Times New Roman" w:eastAsia="Times New Roman" w:cs="Times New Roman"/>
          <w:spacing w:val="10"/>
        </w:rPr>
        <w:t>2</w:t>
      </w:r>
      <w:r>
        <w:rPr>
          <w:spacing w:val="10"/>
        </w:rPr>
        <w:t>）研发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6</w:t>
      </w:r>
      <w:r>
        <w:rPr>
          <w:spacing w:val="7"/>
        </w:rPr>
        <w:t>种危化品早期泄漏柔性传感探测技术，检测限达到</w:t>
      </w:r>
      <w:r>
        <w:rPr>
          <w:rFonts w:ascii="Times New Roman" w:hAnsi="Times New Roman" w:eastAsia="Times New Roman" w:cs="Times New Roman"/>
        </w:rPr>
        <w:t>ppb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7"/>
        </w:rPr>
        <w:t>级，灵敏</w:t>
      </w:r>
      <w:r>
        <w:rPr>
          <w:spacing w:val="4"/>
        </w:rPr>
        <w:t>度达到</w:t>
      </w:r>
      <w:r>
        <w:rPr>
          <w:rFonts w:ascii="Times New Roman" w:hAnsi="Times New Roman" w:eastAsia="Times New Roman" w:cs="Times New Roman"/>
          <w:spacing w:val="4"/>
        </w:rPr>
        <w:t>±1% F.S.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-76"/>
        </w:rPr>
        <w:t>；（</w:t>
      </w:r>
      <w:r>
        <w:rPr>
          <w:rFonts w:ascii="Times New Roman" w:hAnsi="Times New Roman" w:eastAsia="Times New Roman" w:cs="Times New Roman"/>
          <w:spacing w:val="4"/>
        </w:rPr>
        <w:t>3</w:t>
      </w:r>
      <w:r>
        <w:rPr>
          <w:spacing w:val="4"/>
        </w:rPr>
        <w:t>）研制应急处置装置或系统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 xml:space="preserve">1 </w:t>
      </w:r>
      <w:r>
        <w:rPr>
          <w:spacing w:val="4"/>
        </w:rPr>
        <w:t>套</w:t>
      </w:r>
      <w:r>
        <w:rPr>
          <w:spacing w:val="3"/>
        </w:rPr>
        <w:t>，具备快速</w:t>
      </w:r>
      <w:r>
        <w:rPr>
          <w:spacing w:val="4"/>
        </w:rPr>
        <w:t>有效事故干预能力及辅助决策能力，典型高危工艺化工装置智能</w:t>
      </w:r>
      <w:r>
        <w:rPr>
          <w:spacing w:val="7"/>
        </w:rPr>
        <w:t>联动处置响应缩短至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5</w:t>
      </w:r>
      <w:r>
        <w:rPr>
          <w:spacing w:val="7"/>
        </w:rPr>
        <w:t>分钟内</w:t>
      </w:r>
      <w:r>
        <w:rPr>
          <w:spacing w:val="-76"/>
        </w:rPr>
        <w:t>；（</w:t>
      </w:r>
      <w:r>
        <w:rPr>
          <w:rFonts w:ascii="Times New Roman" w:hAnsi="Times New Roman" w:eastAsia="Times New Roman" w:cs="Times New Roman"/>
          <w:spacing w:val="7"/>
        </w:rPr>
        <w:t>4</w:t>
      </w:r>
      <w:r>
        <w:rPr>
          <w:spacing w:val="7"/>
        </w:rPr>
        <w:t>）申请发明专利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 xml:space="preserve">2 </w:t>
      </w:r>
      <w:r>
        <w:rPr>
          <w:spacing w:val="7"/>
        </w:rPr>
        <w:t>项，软件著</w:t>
      </w:r>
      <w:r>
        <w:rPr>
          <w:spacing w:val="-10"/>
        </w:rPr>
        <w:t>作权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1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10"/>
        </w:rPr>
        <w:t>项。</w:t>
      </w:r>
    </w:p>
    <w:p w14:paraId="37282106">
      <w:pPr>
        <w:spacing w:line="410" w:lineRule="exact"/>
        <w:ind w:left="65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position w:val="1"/>
          <w:sz w:val="31"/>
          <w:szCs w:val="31"/>
        </w:rPr>
        <w:t>组织方式：与省应急管理厅共同组织</w:t>
      </w:r>
    </w:p>
    <w:p w14:paraId="2BA99B00">
      <w:pPr>
        <w:spacing w:before="189" w:line="201" w:lineRule="auto"/>
        <w:ind w:left="65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3005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低空飞行安全风险管控治理关键技术研究</w:t>
      </w:r>
    </w:p>
    <w:p w14:paraId="12CB87E3">
      <w:pPr>
        <w:pStyle w:val="2"/>
        <w:spacing w:before="143" w:line="351" w:lineRule="auto"/>
        <w:ind w:left="22" w:right="99" w:firstLine="631"/>
        <w:sectPr>
          <w:footerReference r:id="rId7" w:type="default"/>
          <w:pgSz w:w="11906" w:h="16839"/>
          <w:pgMar w:top="1431" w:right="1446" w:bottom="1780" w:left="1521" w:header="0" w:footer="1506" w:gutter="0"/>
          <w:cols w:space="720" w:num="1"/>
        </w:sectPr>
      </w:pPr>
      <w:r>
        <w:rPr>
          <w:b/>
          <w:bCs/>
          <w:spacing w:val="6"/>
        </w:rPr>
        <w:t>研究内容</w:t>
      </w:r>
      <w:r>
        <w:rPr>
          <w:b/>
          <w:bCs/>
          <w:spacing w:val="-7"/>
        </w:rPr>
        <w:t>：</w:t>
      </w:r>
      <w:r>
        <w:rPr>
          <w:spacing w:val="-7"/>
        </w:rPr>
        <w:t>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6"/>
        </w:rPr>
        <w:t>）研究低空目标监测关键技术，开发多类侦</w:t>
      </w:r>
      <w:r>
        <w:rPr>
          <w:spacing w:val="4"/>
        </w:rPr>
        <w:t>测传感技术融合、异构数据时空配准等技术，提升复杂环境下目</w:t>
      </w:r>
      <w:r>
        <w:rPr>
          <w:spacing w:val="5"/>
        </w:rPr>
        <w:t>标识别的准确率</w:t>
      </w:r>
      <w:r>
        <w:rPr>
          <w:spacing w:val="-78"/>
        </w:rPr>
        <w:t>；（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spacing w:val="5"/>
        </w:rPr>
        <w:t>）研究低空目标反制控制关键技术，提升运</w:t>
      </w:r>
      <w:r>
        <w:rPr>
          <w:spacing w:val="6"/>
        </w:rPr>
        <w:t>动状态下目标识别处置的精确度与有效性</w:t>
      </w:r>
      <w:r>
        <w:rPr>
          <w:spacing w:val="-85"/>
          <w:w w:val="98"/>
        </w:rPr>
        <w:t>；（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spacing w:val="6"/>
        </w:rPr>
        <w:t>）研究低</w:t>
      </w:r>
      <w:r>
        <w:rPr>
          <w:spacing w:val="5"/>
        </w:rPr>
        <w:t>空目标操</w:t>
      </w:r>
    </w:p>
    <w:p w14:paraId="7D66CE8C">
      <w:pPr>
        <w:pStyle w:val="2"/>
        <w:spacing w:before="101" w:line="350" w:lineRule="auto"/>
        <w:jc w:val="both"/>
      </w:pPr>
      <w:r>
        <w:rPr>
          <w:spacing w:val="4"/>
        </w:rPr>
        <w:t>控溯源追踪关键技术，突破操控数据链识别获取还原等难题，提</w:t>
      </w:r>
      <w:r>
        <w:rPr>
          <w:spacing w:val="6"/>
        </w:rPr>
        <w:t>升溯源定位的精准度和时效性</w:t>
      </w:r>
      <w:r>
        <w:rPr>
          <w:spacing w:val="-85"/>
          <w:w w:val="97"/>
        </w:rPr>
        <w:t>；（</w:t>
      </w:r>
      <w:r>
        <w:rPr>
          <w:rFonts w:ascii="Times New Roman" w:hAnsi="Times New Roman" w:eastAsia="Times New Roman" w:cs="Times New Roman"/>
          <w:spacing w:val="6"/>
        </w:rPr>
        <w:t>4</w:t>
      </w:r>
      <w:r>
        <w:rPr>
          <w:spacing w:val="6"/>
        </w:rPr>
        <w:t>）研发低空安全风</w:t>
      </w:r>
      <w:r>
        <w:rPr>
          <w:spacing w:val="5"/>
        </w:rPr>
        <w:t>险管控治理</w:t>
      </w:r>
      <w:r>
        <w:rPr>
          <w:spacing w:val="-3"/>
        </w:rPr>
        <w:t>平台，构建事前预警、事中处置、事后溯源全链条闭环工作模式。</w:t>
      </w:r>
    </w:p>
    <w:p w14:paraId="0F35EEAC">
      <w:pPr>
        <w:pStyle w:val="2"/>
        <w:spacing w:before="9" w:line="350" w:lineRule="auto"/>
        <w:ind w:left="22" w:right="12" w:firstLine="634"/>
        <w:jc w:val="both"/>
      </w:pPr>
      <w:r>
        <w:rPr>
          <w:b/>
          <w:bCs/>
          <w:spacing w:val="2"/>
        </w:rPr>
        <w:t>考核指标</w:t>
      </w:r>
      <w:r>
        <w:rPr>
          <w:spacing w:val="-1"/>
        </w:rPr>
        <w:t>：（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2"/>
        </w:rPr>
        <w:t>）低空目标探测距离大于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3</w:t>
      </w:r>
      <w:r>
        <w:rPr>
          <w:rFonts w:ascii="Times New Roman" w:hAnsi="Times New Roman" w:eastAsia="Times New Roman" w:cs="Times New Roman"/>
        </w:rPr>
        <w:t>km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2"/>
        </w:rPr>
        <w:t>，识别准确率</w:t>
      </w:r>
      <w:r>
        <w:rPr>
          <w:spacing w:val="-6"/>
        </w:rPr>
        <w:t>≥</w:t>
      </w:r>
      <w:r>
        <w:rPr>
          <w:rFonts w:ascii="Times New Roman" w:hAnsi="Times New Roman" w:eastAsia="Times New Roman" w:cs="Times New Roman"/>
          <w:spacing w:val="-6"/>
        </w:rPr>
        <w:t>95%</w:t>
      </w:r>
      <w:r>
        <w:rPr>
          <w:spacing w:val="-6"/>
        </w:rPr>
        <w:t>，预警告警延时≤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rFonts w:ascii="Times New Roman" w:hAnsi="Times New Roman" w:eastAsia="Times New Roman" w:cs="Times New Roman"/>
          <w:spacing w:val="20"/>
          <w:w w:val="101"/>
        </w:rPr>
        <w:t xml:space="preserve"> </w:t>
      </w:r>
      <w:r>
        <w:rPr>
          <w:spacing w:val="-6"/>
        </w:rPr>
        <w:t>秒；低空风险评估指标</w:t>
      </w:r>
      <w:r>
        <w:rPr>
          <w:spacing w:val="-7"/>
        </w:rPr>
        <w:t>体系≥</w:t>
      </w:r>
      <w:r>
        <w:rPr>
          <w:rFonts w:ascii="Times New Roman" w:hAnsi="Times New Roman" w:eastAsia="Times New Roman" w:cs="Times New Roman"/>
          <w:spacing w:val="-7"/>
        </w:rPr>
        <w:t xml:space="preserve">8 </w:t>
      </w:r>
      <w:r>
        <w:rPr>
          <w:spacing w:val="-7"/>
        </w:rPr>
        <w:t>个维度，</w:t>
      </w:r>
      <w:r>
        <w:rPr>
          <w:spacing w:val="-1"/>
        </w:rPr>
        <w:t>判定准确率≥</w:t>
      </w:r>
      <w:r>
        <w:rPr>
          <w:rFonts w:ascii="Times New Roman" w:hAnsi="Times New Roman" w:eastAsia="Times New Roman" w:cs="Times New Roman"/>
          <w:spacing w:val="-1"/>
        </w:rPr>
        <w:t>90%</w:t>
      </w:r>
      <w:r>
        <w:rPr>
          <w:spacing w:val="-1"/>
        </w:rPr>
        <w:t>，成功率≥</w:t>
      </w:r>
      <w:r>
        <w:rPr>
          <w:rFonts w:ascii="Times New Roman" w:hAnsi="Times New Roman" w:eastAsia="Times New Roman" w:cs="Times New Roman"/>
          <w:spacing w:val="-1"/>
        </w:rPr>
        <w:t>90%</w:t>
      </w:r>
      <w:r>
        <w:rPr>
          <w:spacing w:val="-1"/>
        </w:rPr>
        <w:t>；终端定位延迟≤</w:t>
      </w:r>
      <w:r>
        <w:rPr>
          <w:rFonts w:ascii="Times New Roman" w:hAnsi="Times New Roman" w:eastAsia="Times New Roman" w:cs="Times New Roman"/>
          <w:spacing w:val="-1"/>
        </w:rPr>
        <w:t>5</w:t>
      </w:r>
      <w:r>
        <w:rPr>
          <w:rFonts w:ascii="Times New Roman" w:hAnsi="Times New Roman" w:eastAsia="Times New Roman" w:cs="Times New Roman"/>
          <w:spacing w:val="34"/>
          <w:w w:val="101"/>
        </w:rPr>
        <w:t xml:space="preserve"> </w:t>
      </w:r>
      <w:r>
        <w:rPr>
          <w:spacing w:val="-1"/>
        </w:rPr>
        <w:t>分钟，处置</w:t>
      </w:r>
      <w:r>
        <w:rPr>
          <w:spacing w:val="6"/>
        </w:rPr>
        <w:t>及时率≥</w:t>
      </w:r>
      <w:r>
        <w:rPr>
          <w:rFonts w:ascii="Times New Roman" w:hAnsi="Times New Roman" w:eastAsia="Times New Roman" w:cs="Times New Roman"/>
          <w:spacing w:val="6"/>
        </w:rPr>
        <w:t>90%</w:t>
      </w:r>
      <w:r>
        <w:rPr>
          <w:spacing w:val="-70"/>
        </w:rPr>
        <w:t>；（</w:t>
      </w:r>
      <w:r>
        <w:rPr>
          <w:rFonts w:ascii="Times New Roman" w:hAnsi="Times New Roman" w:eastAsia="Times New Roman" w:cs="Times New Roman"/>
          <w:spacing w:val="6"/>
        </w:rPr>
        <w:t>2</w:t>
      </w:r>
      <w:r>
        <w:rPr>
          <w:spacing w:val="6"/>
        </w:rPr>
        <w:t>）管控治理平台支持接入侦测传感技术不少于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6"/>
        </w:rPr>
        <w:t>种，应用场景不少于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3 </w:t>
      </w:r>
      <w:r>
        <w:rPr>
          <w:spacing w:val="6"/>
        </w:rPr>
        <w:t>个</w:t>
      </w:r>
      <w:r>
        <w:rPr>
          <w:spacing w:val="-80"/>
        </w:rPr>
        <w:t>；（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spacing w:val="6"/>
        </w:rPr>
        <w:t>）完成不少于</w:t>
      </w:r>
      <w:r>
        <w:rPr>
          <w:spacing w:val="-7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个市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4 </w:t>
      </w:r>
      <w:r>
        <w:rPr>
          <w:spacing w:val="6"/>
        </w:rPr>
        <w:t>个点位的</w:t>
      </w:r>
      <w:r>
        <w:t>示范应用</w:t>
      </w:r>
      <w:r>
        <w:rPr>
          <w:spacing w:val="-39"/>
        </w:rPr>
        <w:t>；（</w:t>
      </w:r>
      <w:r>
        <w:rPr>
          <w:rFonts w:ascii="Times New Roman" w:hAnsi="Times New Roman" w:eastAsia="Times New Roman" w:cs="Times New Roman"/>
        </w:rPr>
        <w:t>4</w:t>
      </w:r>
      <w:r>
        <w:t>）</w:t>
      </w:r>
      <w:r>
        <w:rPr>
          <w:spacing w:val="-81"/>
        </w:rPr>
        <w:t xml:space="preserve"> </w:t>
      </w:r>
      <w:r>
        <w:t>申请发明专利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</w:rPr>
        <w:t>1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t>项，软件著作权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</w:rPr>
        <w:t>1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t>项。</w:t>
      </w:r>
    </w:p>
    <w:p w14:paraId="06C9843A">
      <w:pPr>
        <w:spacing w:line="410" w:lineRule="exact"/>
        <w:ind w:left="65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position w:val="1"/>
          <w:sz w:val="31"/>
          <w:szCs w:val="31"/>
        </w:rPr>
        <w:t>组织方式：与省公安厅共同组织</w:t>
      </w:r>
    </w:p>
    <w:p w14:paraId="44B915F4">
      <w:pPr>
        <w:spacing w:before="187" w:line="201" w:lineRule="auto"/>
        <w:ind w:left="65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3006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城市生命线安全智能监管关键</w:t>
      </w:r>
      <w:r>
        <w:rPr>
          <w:rFonts w:ascii="微软雅黑" w:hAnsi="微软雅黑" w:eastAsia="微软雅黑" w:cs="微软雅黑"/>
          <w:spacing w:val="7"/>
          <w:sz w:val="31"/>
          <w:szCs w:val="31"/>
        </w:rPr>
        <w:t>技术研发</w:t>
      </w:r>
    </w:p>
    <w:p w14:paraId="266C4E44">
      <w:pPr>
        <w:pStyle w:val="2"/>
        <w:spacing w:before="147" w:line="350" w:lineRule="auto"/>
        <w:ind w:left="35" w:right="13" w:firstLine="618"/>
      </w:pPr>
      <w:r>
        <w:rPr>
          <w:b/>
          <w:bCs/>
          <w:spacing w:val="6"/>
        </w:rPr>
        <w:t>研究内容</w:t>
      </w:r>
      <w:r>
        <w:rPr>
          <w:b/>
          <w:bCs/>
          <w:spacing w:val="-7"/>
        </w:rPr>
        <w:t>：</w:t>
      </w:r>
      <w:r>
        <w:rPr>
          <w:spacing w:val="-7"/>
        </w:rPr>
        <w:t>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6"/>
        </w:rPr>
        <w:t>）针对防范燃气爆炸、城市内涝、第三方施</w:t>
      </w:r>
      <w:r>
        <w:rPr>
          <w:spacing w:val="4"/>
        </w:rPr>
        <w:t>工破坏等风险场景，围绕城市生命线安全高效运行，研发融合视</w:t>
      </w:r>
      <w:r>
        <w:rPr>
          <w:spacing w:val="-3"/>
        </w:rPr>
        <w:t>觉数据、物联感知数据、监管数据等的多模态数据融合分</w:t>
      </w:r>
      <w:r>
        <w:rPr>
          <w:spacing w:val="-4"/>
        </w:rPr>
        <w:t>析技术；</w:t>
      </w:r>
    </w:p>
    <w:p w14:paraId="7B13A12F">
      <w:pPr>
        <w:pStyle w:val="2"/>
        <w:spacing w:before="4" w:line="351" w:lineRule="auto"/>
        <w:ind w:left="25" w:right="110" w:hanging="26"/>
        <w:jc w:val="both"/>
      </w:pPr>
      <w:r>
        <w:t>（</w:t>
      </w:r>
      <w:r>
        <w:rPr>
          <w:rFonts w:ascii="Times New Roman" w:hAnsi="Times New Roman" w:eastAsia="Times New Roman" w:cs="Times New Roman"/>
        </w:rPr>
        <w:t>2</w:t>
      </w:r>
      <w:r>
        <w:t>）针对不同地质条件、地下基础设施构造等信息，构建基于分</w:t>
      </w:r>
      <w:r>
        <w:rPr>
          <w:spacing w:val="4"/>
        </w:rPr>
        <w:t>布式光纤传感的信号识别方法体系，绘制不同指标体系的声纹图</w:t>
      </w:r>
      <w:r>
        <w:rPr>
          <w:spacing w:val="7"/>
        </w:rPr>
        <w:t>谱</w:t>
      </w:r>
      <w:r>
        <w:rPr>
          <w:spacing w:val="-80"/>
          <w:w w:val="92"/>
        </w:rPr>
        <w:t>；（</w:t>
      </w:r>
      <w:r>
        <w:rPr>
          <w:rFonts w:ascii="Times New Roman" w:hAnsi="Times New Roman" w:eastAsia="Times New Roman" w:cs="Times New Roman"/>
          <w:spacing w:val="7"/>
        </w:rPr>
        <w:t>3</w:t>
      </w:r>
      <w:r>
        <w:rPr>
          <w:spacing w:val="7"/>
        </w:rPr>
        <w:t>）基于多源数据融合，建立异常事件智</w:t>
      </w:r>
      <w:r>
        <w:rPr>
          <w:spacing w:val="6"/>
        </w:rPr>
        <w:t>能识别与风险评估</w:t>
      </w:r>
      <w:r>
        <w:rPr>
          <w:spacing w:val="4"/>
        </w:rPr>
        <w:t>预警模型，形成监测指标体系与诊断方法，构建城市生命线安全</w:t>
      </w:r>
      <w:r>
        <w:rPr>
          <w:spacing w:val="3"/>
        </w:rPr>
        <w:t>智能监测和应急处置一体化技术体系。</w:t>
      </w:r>
    </w:p>
    <w:p w14:paraId="2EA73996">
      <w:pPr>
        <w:pStyle w:val="2"/>
        <w:spacing w:before="6" w:line="350" w:lineRule="auto"/>
        <w:ind w:left="29" w:right="110" w:firstLine="627"/>
        <w:jc w:val="both"/>
      </w:pPr>
      <w:r>
        <w:rPr>
          <w:b/>
          <w:bCs/>
          <w:spacing w:val="6"/>
        </w:rPr>
        <w:t>考核指标</w:t>
      </w:r>
      <w:r>
        <w:rPr>
          <w:spacing w:val="-8"/>
        </w:rPr>
        <w:t>：（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6"/>
        </w:rPr>
        <w:t>）针对防范燃气爆炸、城市内涝、第三方施</w:t>
      </w:r>
      <w:r>
        <w:rPr>
          <w:spacing w:val="2"/>
        </w:rPr>
        <w:t>工破坏等风险场景，构建城市生命线综合知识库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1 </w:t>
      </w:r>
      <w:r>
        <w:rPr>
          <w:spacing w:val="2"/>
        </w:rPr>
        <w:t>个、</w:t>
      </w:r>
      <w:r>
        <w:rPr>
          <w:spacing w:val="1"/>
        </w:rPr>
        <w:t>智能体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</w:t>
      </w:r>
      <w:r>
        <w:rPr>
          <w:spacing w:val="6"/>
        </w:rPr>
        <w:t>套</w:t>
      </w:r>
      <w:r>
        <w:rPr>
          <w:spacing w:val="-80"/>
          <w:w w:val="92"/>
        </w:rPr>
        <w:t>；（</w:t>
      </w:r>
      <w:r>
        <w:rPr>
          <w:rFonts w:ascii="Times New Roman" w:hAnsi="Times New Roman" w:eastAsia="Times New Roman" w:cs="Times New Roman"/>
          <w:spacing w:val="6"/>
        </w:rPr>
        <w:t>2</w:t>
      </w:r>
      <w:r>
        <w:rPr>
          <w:spacing w:val="6"/>
        </w:rPr>
        <w:t>）研发生命线分析算法模型不少于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3 </w:t>
      </w:r>
      <w:r>
        <w:rPr>
          <w:spacing w:val="6"/>
        </w:rPr>
        <w:t>个，事件检出率提升</w:t>
      </w:r>
    </w:p>
    <w:p w14:paraId="22674358">
      <w:pPr>
        <w:spacing w:line="350" w:lineRule="auto"/>
        <w:sectPr>
          <w:footerReference r:id="rId8" w:type="default"/>
          <w:pgSz w:w="11906" w:h="16839"/>
          <w:pgMar w:top="1431" w:right="1434" w:bottom="1780" w:left="1521" w:header="0" w:footer="1506" w:gutter="0"/>
          <w:cols w:space="720" w:num="1"/>
        </w:sectPr>
      </w:pPr>
    </w:p>
    <w:p w14:paraId="75A05694">
      <w:pPr>
        <w:spacing w:line="474" w:lineRule="auto"/>
        <w:rPr>
          <w:rFonts w:ascii="Arial"/>
          <w:sz w:val="21"/>
        </w:rPr>
      </w:pPr>
    </w:p>
    <w:p w14:paraId="563754BC">
      <w:pPr>
        <w:pStyle w:val="2"/>
        <w:spacing w:before="101" w:line="350" w:lineRule="auto"/>
        <w:ind w:left="4" w:right="110" w:hanging="4"/>
      </w:pPr>
      <w:r>
        <w:rPr>
          <w:rFonts w:ascii="Times New Roman" w:hAnsi="Times New Roman" w:eastAsia="Times New Roman" w:cs="Times New Roman"/>
          <w:spacing w:val="6"/>
        </w:rPr>
        <w:t>30%</w:t>
      </w:r>
      <w:r>
        <w:rPr>
          <w:spacing w:val="-64"/>
        </w:rPr>
        <w:t>；（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spacing w:val="6"/>
        </w:rPr>
        <w:t>）建立不同地质条件、不同环境下的</w:t>
      </w:r>
      <w:r>
        <w:rPr>
          <w:spacing w:val="5"/>
        </w:rPr>
        <w:t>分布式声纹特征图</w:t>
      </w:r>
      <w:r>
        <w:rPr>
          <w:spacing w:val="4"/>
        </w:rPr>
        <w:t>谱，搭建集数据融合、风险预警与协同处置于一体的分布式光纤</w:t>
      </w:r>
    </w:p>
    <w:p w14:paraId="347083AF">
      <w:pPr>
        <w:pStyle w:val="2"/>
        <w:spacing w:before="5" w:line="346" w:lineRule="auto"/>
        <w:ind w:left="632" w:hanging="627"/>
        <w:rPr>
          <w:rFonts w:ascii="黑体" w:hAnsi="黑体" w:eastAsia="黑体" w:cs="黑体"/>
        </w:rPr>
      </w:pPr>
      <w:r>
        <w:rPr>
          <w:spacing w:val="1"/>
        </w:rPr>
        <w:t>服务平台</w:t>
      </w:r>
      <w:r>
        <w:rPr>
          <w:spacing w:val="-36"/>
        </w:rPr>
        <w:t>；（</w:t>
      </w:r>
      <w:r>
        <w:rPr>
          <w:rFonts w:ascii="Times New Roman" w:hAnsi="Times New Roman" w:eastAsia="Times New Roman" w:cs="Times New Roman"/>
          <w:spacing w:val="1"/>
        </w:rPr>
        <w:t>4</w:t>
      </w:r>
      <w:r>
        <w:rPr>
          <w:spacing w:val="1"/>
        </w:rPr>
        <w:t>）</w:t>
      </w:r>
      <w:r>
        <w:rPr>
          <w:spacing w:val="-81"/>
        </w:rPr>
        <w:t xml:space="preserve"> </w:t>
      </w:r>
      <w:r>
        <w:rPr>
          <w:spacing w:val="1"/>
        </w:rPr>
        <w:t>申请发明专利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3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1"/>
        </w:rPr>
        <w:t>项，制定技术指南或标准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1"/>
        </w:rPr>
        <w:t>项。</w:t>
      </w:r>
      <w:r>
        <w:rPr>
          <w:rFonts w:ascii="黑体" w:hAnsi="黑体" w:eastAsia="黑体" w:cs="黑体"/>
          <w:spacing w:val="4"/>
        </w:rPr>
        <w:t>组织方式：与省住房城乡建设厅共同组织</w:t>
      </w:r>
    </w:p>
    <w:p w14:paraId="3F59C692">
      <w:pPr>
        <w:spacing w:before="16" w:line="201" w:lineRule="auto"/>
        <w:ind w:left="628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3007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极端天气智能监测预警及应急处置关键技术研发</w:t>
      </w:r>
    </w:p>
    <w:p w14:paraId="37D6F10C">
      <w:pPr>
        <w:pStyle w:val="2"/>
        <w:spacing w:before="145" w:line="351" w:lineRule="auto"/>
        <w:ind w:left="3" w:right="110" w:firstLine="628"/>
        <w:jc w:val="both"/>
      </w:pPr>
      <w:r>
        <w:rPr>
          <w:b/>
          <w:bCs/>
        </w:rPr>
        <w:t>研究内容</w:t>
      </w:r>
      <w:r>
        <w:rPr>
          <w:b/>
          <w:bCs/>
          <w:spacing w:val="-30"/>
        </w:rPr>
        <w:t>：</w:t>
      </w:r>
      <w:r>
        <w:rPr>
          <w:spacing w:val="-30"/>
        </w:rPr>
        <w:t>（</w:t>
      </w:r>
      <w:r>
        <w:rPr>
          <w:spacing w:val="-79"/>
        </w:rPr>
        <w:t xml:space="preserve"> </w:t>
      </w:r>
      <w:r>
        <w:rPr>
          <w:rFonts w:ascii="Times New Roman" w:hAnsi="Times New Roman" w:eastAsia="Times New Roman" w:cs="Times New Roman"/>
        </w:rPr>
        <w:t>1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t>）融合多源数据，开展星</w:t>
      </w:r>
      <w:r>
        <w:rPr>
          <w:rFonts w:ascii="Times New Roman" w:hAnsi="Times New Roman" w:eastAsia="Times New Roman" w:cs="Times New Roman"/>
        </w:rPr>
        <w:t>-</w:t>
      </w:r>
      <w:r>
        <w:t>地</w:t>
      </w:r>
      <w:r>
        <w:rPr>
          <w:rFonts w:ascii="Times New Roman" w:hAnsi="Times New Roman" w:eastAsia="Times New Roman" w:cs="Times New Roman"/>
        </w:rPr>
        <w:t>-</w:t>
      </w:r>
      <w:r>
        <w:t>空协</w:t>
      </w:r>
      <w:r>
        <w:rPr>
          <w:spacing w:val="-1"/>
        </w:rPr>
        <w:t>同观测技术</w:t>
      </w:r>
      <w:r>
        <w:rPr>
          <w:spacing w:val="4"/>
        </w:rPr>
        <w:t>研究，构建极端天气识别模型，实现对极端天气发生和演变的精</w:t>
      </w:r>
      <w:r>
        <w:rPr>
          <w:spacing w:val="5"/>
        </w:rPr>
        <w:t>准监测、智能识别和触发分级报警</w:t>
      </w:r>
      <w:r>
        <w:rPr>
          <w:spacing w:val="-78"/>
        </w:rPr>
        <w:t>；（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spacing w:val="5"/>
        </w:rPr>
        <w:t>）研发极端天气引</w:t>
      </w:r>
      <w:r>
        <w:rPr>
          <w:spacing w:val="4"/>
        </w:rPr>
        <w:t>发次生灾害的定量化风险评估模型，提升风</w:t>
      </w:r>
      <w:r>
        <w:rPr>
          <w:rFonts w:ascii="Times New Roman" w:hAnsi="Times New Roman" w:eastAsia="Times New Roman" w:cs="Times New Roman"/>
          <w:spacing w:val="4"/>
        </w:rPr>
        <w:t>-</w:t>
      </w:r>
      <w:r>
        <w:rPr>
          <w:spacing w:val="4"/>
        </w:rPr>
        <w:t>雨</w:t>
      </w:r>
      <w:r>
        <w:rPr>
          <w:rFonts w:ascii="Times New Roman" w:hAnsi="Times New Roman" w:eastAsia="Times New Roman" w:cs="Times New Roman"/>
          <w:spacing w:val="4"/>
        </w:rPr>
        <w:t>-</w:t>
      </w:r>
      <w:r>
        <w:rPr>
          <w:spacing w:val="4"/>
        </w:rPr>
        <w:t>浪</w:t>
      </w:r>
      <w:r>
        <w:rPr>
          <w:rFonts w:ascii="Times New Roman" w:hAnsi="Times New Roman" w:eastAsia="Times New Roman" w:cs="Times New Roman"/>
          <w:spacing w:val="4"/>
        </w:rPr>
        <w:t>-</w:t>
      </w:r>
      <w:r>
        <w:rPr>
          <w:spacing w:val="4"/>
        </w:rPr>
        <w:t>潮等多物理场耦合模</w:t>
      </w:r>
      <w:r>
        <w:rPr>
          <w:spacing w:val="7"/>
        </w:rPr>
        <w:t>拟能力，形成精细化灾害影响预评估产品</w:t>
      </w:r>
      <w:r>
        <w:rPr>
          <w:spacing w:val="-80"/>
          <w:w w:val="92"/>
        </w:rPr>
        <w:t>；（</w:t>
      </w:r>
      <w:r>
        <w:rPr>
          <w:rFonts w:ascii="Times New Roman" w:hAnsi="Times New Roman" w:eastAsia="Times New Roman" w:cs="Times New Roman"/>
          <w:spacing w:val="7"/>
        </w:rPr>
        <w:t>3</w:t>
      </w:r>
      <w:r>
        <w:rPr>
          <w:spacing w:val="7"/>
        </w:rPr>
        <w:t>）</w:t>
      </w:r>
      <w:r>
        <w:rPr>
          <w:spacing w:val="6"/>
        </w:rPr>
        <w:t>搭建预警预报系</w:t>
      </w:r>
      <w:r>
        <w:rPr>
          <w:spacing w:val="8"/>
        </w:rPr>
        <w:t>统，实现实况监测</w:t>
      </w:r>
      <w:r>
        <w:rPr>
          <w:rFonts w:ascii="Times New Roman" w:hAnsi="Times New Roman" w:eastAsia="Times New Roman" w:cs="Times New Roman"/>
          <w:spacing w:val="8"/>
        </w:rPr>
        <w:t>-</w:t>
      </w:r>
      <w:r>
        <w:rPr>
          <w:spacing w:val="8"/>
        </w:rPr>
        <w:t>短临预警</w:t>
      </w:r>
      <w:r>
        <w:rPr>
          <w:rFonts w:ascii="Times New Roman" w:hAnsi="Times New Roman" w:eastAsia="Times New Roman" w:cs="Times New Roman"/>
          <w:spacing w:val="8"/>
        </w:rPr>
        <w:t>-</w:t>
      </w:r>
      <w:r>
        <w:rPr>
          <w:spacing w:val="8"/>
        </w:rPr>
        <w:t>短中期预测无缝衔接</w:t>
      </w:r>
      <w:r>
        <w:rPr>
          <w:spacing w:val="-73"/>
        </w:rPr>
        <w:t>；（</w:t>
      </w:r>
      <w:r>
        <w:rPr>
          <w:rFonts w:ascii="Times New Roman" w:hAnsi="Times New Roman" w:eastAsia="Times New Roman" w:cs="Times New Roman"/>
          <w:spacing w:val="8"/>
        </w:rPr>
        <w:t>4</w:t>
      </w:r>
      <w:r>
        <w:rPr>
          <w:spacing w:val="8"/>
        </w:rPr>
        <w:t>）研究灾</w:t>
      </w:r>
      <w:r>
        <w:rPr>
          <w:spacing w:val="4"/>
        </w:rPr>
        <w:t>后救援技术，开发灾害场景下应急处置工艺和装备，构建一体化</w:t>
      </w:r>
      <w:r>
        <w:rPr>
          <w:spacing w:val="3"/>
        </w:rPr>
        <w:t>管控平台联动体系。</w:t>
      </w:r>
    </w:p>
    <w:p w14:paraId="3BA2B694">
      <w:pPr>
        <w:pStyle w:val="2"/>
        <w:spacing w:before="9" w:line="351" w:lineRule="auto"/>
        <w:ind w:right="110" w:firstLine="634"/>
        <w:jc w:val="both"/>
      </w:pPr>
      <w:r>
        <w:rPr>
          <w:b/>
          <w:bCs/>
          <w:spacing w:val="2"/>
        </w:rPr>
        <w:t>考核指标</w:t>
      </w:r>
      <w:r>
        <w:rPr>
          <w:spacing w:val="-1"/>
        </w:rPr>
        <w:t>：（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2"/>
        </w:rPr>
        <w:t>）构建一套极端气候（</w:t>
      </w:r>
      <w:r>
        <w:rPr>
          <w:spacing w:val="-73"/>
        </w:rPr>
        <w:t xml:space="preserve"> </w:t>
      </w:r>
      <w:r>
        <w:rPr>
          <w:spacing w:val="2"/>
        </w:rPr>
        <w:t>强对流天气、极端暴</w:t>
      </w:r>
      <w:r>
        <w:rPr>
          <w:spacing w:val="4"/>
        </w:rPr>
        <w:t>雨等）的监测、识别和预报体系，形成野外观测示范场景不少于</w:t>
      </w:r>
      <w:r>
        <w:rPr>
          <w:rFonts w:ascii="Times New Roman" w:hAnsi="Times New Roman" w:eastAsia="Times New Roman" w:cs="Times New Roman"/>
          <w:spacing w:val="7"/>
        </w:rPr>
        <w:t>3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</w:t>
      </w:r>
      <w:r>
        <w:rPr>
          <w:spacing w:val="7"/>
        </w:rPr>
        <w:t>种，模型对极端天气特征识别率≥</w:t>
      </w:r>
      <w:r>
        <w:rPr>
          <w:rFonts w:ascii="Times New Roman" w:hAnsi="Times New Roman" w:eastAsia="Times New Roman" w:cs="Times New Roman"/>
          <w:spacing w:val="7"/>
        </w:rPr>
        <w:t>92%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7"/>
        </w:rPr>
        <w:t>、外推</w:t>
      </w:r>
      <w:r>
        <w:rPr>
          <w:spacing w:val="6"/>
        </w:rPr>
        <w:t>准确率优于主流</w:t>
      </w:r>
      <w:r>
        <w:rPr>
          <w:spacing w:val="7"/>
        </w:rPr>
        <w:t>方案至少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8%</w:t>
      </w:r>
      <w:r>
        <w:rPr>
          <w:spacing w:val="7"/>
        </w:rPr>
        <w:t>，报警响应延迟≤</w:t>
      </w:r>
      <w:r>
        <w:rPr>
          <w:rFonts w:ascii="Times New Roman" w:hAnsi="Times New Roman" w:eastAsia="Times New Roman" w:cs="Times New Roman"/>
          <w:spacing w:val="7"/>
        </w:rPr>
        <w:t xml:space="preserve">30 </w:t>
      </w:r>
      <w:r>
        <w:rPr>
          <w:spacing w:val="7"/>
        </w:rPr>
        <w:t>秒</w:t>
      </w:r>
      <w:r>
        <w:rPr>
          <w:spacing w:val="-86"/>
          <w:w w:val="98"/>
        </w:rPr>
        <w:t>；（</w:t>
      </w:r>
      <w:r>
        <w:rPr>
          <w:rFonts w:ascii="Times New Roman" w:hAnsi="Times New Roman" w:eastAsia="Times New Roman" w:cs="Times New Roman"/>
          <w:spacing w:val="7"/>
        </w:rPr>
        <w:t>2</w:t>
      </w:r>
      <w:r>
        <w:rPr>
          <w:spacing w:val="7"/>
        </w:rPr>
        <w:t>）次生</w:t>
      </w:r>
      <w:r>
        <w:rPr>
          <w:spacing w:val="6"/>
        </w:rPr>
        <w:t>灾害风险评估模</w:t>
      </w:r>
      <w:r>
        <w:rPr>
          <w:spacing w:val="4"/>
        </w:rPr>
        <w:t>型准确率≥</w:t>
      </w:r>
      <w:r>
        <w:rPr>
          <w:rFonts w:ascii="Times New Roman" w:hAnsi="Times New Roman" w:eastAsia="Times New Roman" w:cs="Times New Roman"/>
          <w:spacing w:val="4"/>
        </w:rPr>
        <w:t>85%</w:t>
      </w:r>
      <w:r>
        <w:rPr>
          <w:rFonts w:ascii="Times New Roman" w:hAnsi="Times New Roman" w:eastAsia="Times New Roman" w:cs="Times New Roman"/>
          <w:spacing w:val="-12"/>
        </w:rPr>
        <w:t xml:space="preserve"> </w:t>
      </w:r>
      <w:r>
        <w:rPr>
          <w:spacing w:val="4"/>
        </w:rPr>
        <w:t>，灾害影响预评估产品空间分辨率达百米级，时</w:t>
      </w:r>
      <w:r>
        <w:rPr>
          <w:spacing w:val="12"/>
        </w:rPr>
        <w:t>间更新频次≤</w:t>
      </w:r>
      <w:r>
        <w:rPr>
          <w:rFonts w:ascii="Times New Roman" w:hAnsi="Times New Roman" w:eastAsia="Times New Roman" w:cs="Times New Roman"/>
          <w:spacing w:val="12"/>
        </w:rPr>
        <w:t xml:space="preserve">15 </w:t>
      </w:r>
      <w:r>
        <w:rPr>
          <w:spacing w:val="12"/>
        </w:rPr>
        <w:t>分钟</w:t>
      </w:r>
      <w:r>
        <w:rPr>
          <w:spacing w:val="-64"/>
        </w:rPr>
        <w:t>；（</w:t>
      </w:r>
      <w:r>
        <w:rPr>
          <w:rFonts w:ascii="Times New Roman" w:hAnsi="Times New Roman" w:eastAsia="Times New Roman" w:cs="Times New Roman"/>
          <w:spacing w:val="12"/>
        </w:rPr>
        <w:t>3</w:t>
      </w:r>
      <w:r>
        <w:rPr>
          <w:spacing w:val="12"/>
        </w:rPr>
        <w:t>）预警预报系统平均提前量比目</w:t>
      </w:r>
      <w:r>
        <w:rPr>
          <w:spacing w:val="11"/>
        </w:rPr>
        <w:t>前提</w:t>
      </w:r>
      <w:r>
        <w:rPr>
          <w:spacing w:val="5"/>
        </w:rPr>
        <w:t>前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5-8</w:t>
      </w:r>
      <w:r>
        <w:rPr>
          <w:rFonts w:ascii="Times New Roman" w:hAnsi="Times New Roman" w:eastAsia="Times New Roman" w:cs="Times New Roman"/>
          <w:spacing w:val="22"/>
          <w:w w:val="101"/>
        </w:rPr>
        <w:t xml:space="preserve"> </w:t>
      </w:r>
      <w:r>
        <w:rPr>
          <w:spacing w:val="5"/>
        </w:rPr>
        <w:t>分钟，预警信息精准推送覆盖率≥</w:t>
      </w:r>
      <w:r>
        <w:rPr>
          <w:rFonts w:ascii="Times New Roman" w:hAnsi="Times New Roman" w:eastAsia="Times New Roman" w:cs="Times New Roman"/>
          <w:spacing w:val="5"/>
        </w:rPr>
        <w:t>98%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-76"/>
        </w:rPr>
        <w:t>；（</w:t>
      </w:r>
      <w:r>
        <w:rPr>
          <w:rFonts w:ascii="Times New Roman" w:hAnsi="Times New Roman" w:eastAsia="Times New Roman" w:cs="Times New Roman"/>
          <w:spacing w:val="5"/>
        </w:rPr>
        <w:t>4</w:t>
      </w:r>
      <w:r>
        <w:rPr>
          <w:spacing w:val="5"/>
        </w:rPr>
        <w:t>）研制具备群</w:t>
      </w:r>
      <w:r>
        <w:rPr>
          <w:spacing w:val="3"/>
        </w:rPr>
        <w:t>组作业功能的灾后应急救援装备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</w:t>
      </w:r>
      <w:r>
        <w:rPr>
          <w:rFonts w:ascii="Times New Roman" w:hAnsi="Times New Roman" w:eastAsia="Times New Roman" w:cs="Times New Roman"/>
          <w:spacing w:val="20"/>
          <w:w w:val="101"/>
        </w:rPr>
        <w:t xml:space="preserve"> </w:t>
      </w:r>
      <w:r>
        <w:rPr>
          <w:spacing w:val="3"/>
        </w:rPr>
        <w:t>套，具备复杂环境作业能</w:t>
      </w:r>
      <w:r>
        <w:rPr>
          <w:spacing w:val="2"/>
        </w:rPr>
        <w:t>力，</w:t>
      </w:r>
      <w:r>
        <w:rPr>
          <w:spacing w:val="-1"/>
        </w:rPr>
        <w:t>满载续航时间不低于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-1"/>
        </w:rPr>
        <w:t>小时，</w:t>
      </w:r>
      <w:r>
        <w:rPr>
          <w:spacing w:val="-73"/>
        </w:rPr>
        <w:t xml:space="preserve"> </w:t>
      </w:r>
      <w:r>
        <w:rPr>
          <w:spacing w:val="-1"/>
        </w:rPr>
        <w:t>自主决策准确率≥</w:t>
      </w:r>
      <w:r>
        <w:rPr>
          <w:rFonts w:ascii="Times New Roman" w:hAnsi="Times New Roman" w:eastAsia="Times New Roman" w:cs="Times New Roman"/>
          <w:spacing w:val="-1"/>
        </w:rPr>
        <w:t>90%</w:t>
      </w:r>
      <w:r>
        <w:rPr>
          <w:spacing w:val="-1"/>
        </w:rPr>
        <w:t>。</w:t>
      </w:r>
    </w:p>
    <w:p w14:paraId="149C6A87">
      <w:pPr>
        <w:spacing w:line="351" w:lineRule="auto"/>
        <w:sectPr>
          <w:footerReference r:id="rId9" w:type="default"/>
          <w:pgSz w:w="11906" w:h="16839"/>
          <w:pgMar w:top="1431" w:right="1434" w:bottom="1780" w:left="1544" w:header="0" w:footer="1506" w:gutter="0"/>
          <w:cols w:space="720" w:num="1"/>
        </w:sectPr>
      </w:pPr>
    </w:p>
    <w:p w14:paraId="2E436E70">
      <w:pPr>
        <w:spacing w:line="465" w:lineRule="auto"/>
        <w:rPr>
          <w:rFonts w:ascii="Arial"/>
          <w:sz w:val="21"/>
        </w:rPr>
      </w:pPr>
    </w:p>
    <w:p w14:paraId="03E23D90">
      <w:pPr>
        <w:spacing w:before="101" w:line="411" w:lineRule="exact"/>
        <w:ind w:left="65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position w:val="1"/>
          <w:sz w:val="31"/>
          <w:szCs w:val="31"/>
        </w:rPr>
        <w:t>组织方式：与省气象局共同组织</w:t>
      </w:r>
    </w:p>
    <w:p w14:paraId="710562C1">
      <w:pPr>
        <w:spacing w:before="189" w:line="201" w:lineRule="auto"/>
        <w:ind w:left="65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3008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高层建筑多模态灭火救援关键技术及装备研究</w:t>
      </w:r>
    </w:p>
    <w:p w14:paraId="6FA2709A">
      <w:pPr>
        <w:pStyle w:val="2"/>
        <w:spacing w:before="143" w:line="351" w:lineRule="auto"/>
        <w:ind w:left="25" w:right="162" w:firstLine="628"/>
      </w:pPr>
      <w:r>
        <w:rPr>
          <w:b/>
          <w:bCs/>
          <w:spacing w:val="6"/>
        </w:rPr>
        <w:t>研究内容</w:t>
      </w:r>
      <w:r>
        <w:rPr>
          <w:b/>
          <w:bCs/>
          <w:spacing w:val="-7"/>
        </w:rPr>
        <w:t>：</w:t>
      </w:r>
      <w:r>
        <w:rPr>
          <w:spacing w:val="-7"/>
        </w:rPr>
        <w:t>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6"/>
        </w:rPr>
        <w:t>）针对高层建筑典型灭火救援场景，研发集</w:t>
      </w:r>
      <w:r>
        <w:rPr>
          <w:spacing w:val="4"/>
        </w:rPr>
        <w:t>装备搭载、物资储运、指挥调度于一体的智能消防车，研发无人</w:t>
      </w:r>
      <w:r>
        <w:rPr>
          <w:spacing w:val="1"/>
        </w:rPr>
        <w:t>机应用管控平台，构建“</w:t>
      </w:r>
      <w:r>
        <w:rPr>
          <w:spacing w:val="-120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1+3+N</w:t>
      </w:r>
      <w:r>
        <w:rPr>
          <w:spacing w:val="1"/>
        </w:rPr>
        <w:t>”</w:t>
      </w:r>
      <w:r>
        <w:rPr>
          <w:spacing w:val="-116"/>
        </w:rPr>
        <w:t xml:space="preserve"> </w:t>
      </w:r>
      <w:r>
        <w:rPr>
          <w:spacing w:val="1"/>
        </w:rPr>
        <w:t>空中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119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1"/>
        </w:rPr>
        <w:t>消防救援技术体系；</w:t>
      </w:r>
    </w:p>
    <w:p w14:paraId="1EF8E57E">
      <w:pPr>
        <w:pStyle w:val="2"/>
        <w:spacing w:before="5" w:line="350" w:lineRule="auto"/>
        <w:ind w:left="34" w:right="160" w:hanging="34"/>
        <w:jc w:val="both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spacing w:val="-2"/>
        </w:rPr>
        <w:t>）研究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100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-2"/>
        </w:rPr>
        <w:t>米以上高层建筑外立面、内天井、凹槽、地下新能</w:t>
      </w:r>
      <w:r>
        <w:rPr>
          <w:spacing w:val="4"/>
        </w:rPr>
        <w:t>源汽车停放充电区域火灾防控处置关键技术，研制移动管路供气</w:t>
      </w:r>
      <w:r>
        <w:rPr>
          <w:spacing w:val="3"/>
        </w:rPr>
        <w:t>系统、机械外骨骼等辅助救援关键设备，开发无人机</w:t>
      </w:r>
      <w:r>
        <w:rPr>
          <w:rFonts w:ascii="Times New Roman" w:hAnsi="Times New Roman" w:eastAsia="Times New Roman" w:cs="Times New Roman"/>
          <w:spacing w:val="3"/>
        </w:rPr>
        <w:t>-</w:t>
      </w:r>
      <w:r>
        <w:rPr>
          <w:spacing w:val="3"/>
        </w:rPr>
        <w:t>地面装备-</w:t>
      </w:r>
      <w:r>
        <w:rPr>
          <w:spacing w:val="6"/>
        </w:rPr>
        <w:t>消防员救援协作算法模型，在省内部分地区开展试点示范。</w:t>
      </w:r>
    </w:p>
    <w:p w14:paraId="5B2591B5">
      <w:pPr>
        <w:pStyle w:val="2"/>
        <w:spacing w:before="3" w:line="351" w:lineRule="auto"/>
        <w:ind w:left="21" w:firstLine="635"/>
        <w:jc w:val="both"/>
      </w:pPr>
      <w:r>
        <w:rPr>
          <w:b/>
          <w:bCs/>
          <w:spacing w:val="6"/>
        </w:rPr>
        <w:t>考核指标</w:t>
      </w:r>
      <w:r>
        <w:rPr>
          <w:spacing w:val="-10"/>
        </w:rPr>
        <w:t>：（</w:t>
      </w:r>
      <w:r>
        <w:rPr>
          <w:spacing w:val="-7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6"/>
        </w:rPr>
        <w:t>）研究高层建筑体系化救援新技术新方法不</w:t>
      </w:r>
      <w:r>
        <w:rPr>
          <w:spacing w:val="8"/>
        </w:rPr>
        <w:t>少于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20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8"/>
        </w:rPr>
        <w:t>种，研制关键设备不少于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8"/>
        </w:rPr>
        <w:t>种</w:t>
      </w:r>
      <w:r>
        <w:rPr>
          <w:spacing w:val="-82"/>
        </w:rPr>
        <w:t>；（</w:t>
      </w:r>
      <w:r>
        <w:rPr>
          <w:rFonts w:ascii="Times New Roman" w:hAnsi="Times New Roman" w:eastAsia="Times New Roman" w:cs="Times New Roman"/>
          <w:spacing w:val="8"/>
        </w:rPr>
        <w:t>2</w:t>
      </w:r>
      <w:r>
        <w:rPr>
          <w:spacing w:val="8"/>
        </w:rPr>
        <w:t>）开发具备侦察、通</w:t>
      </w:r>
      <w:r>
        <w:rPr>
          <w:spacing w:val="4"/>
        </w:rPr>
        <w:t>信、运投、搜救、灭火等功能的无人机，研发车机一体化的智能消防车，配置外接轻质水带、喷枪等专用灭火负载，从车顶启动</w:t>
      </w:r>
      <w:r>
        <w:t>每上升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</w:rPr>
        <w:t>100m</w:t>
      </w:r>
      <w:r>
        <w:rPr>
          <w:rFonts w:ascii="Times New Roman" w:hAnsi="Times New Roman" w:eastAsia="Times New Roman" w:cs="Times New Roman"/>
          <w:spacing w:val="67"/>
          <w:w w:val="101"/>
        </w:rPr>
        <w:t xml:space="preserve"> </w:t>
      </w:r>
      <w:r>
        <w:t>出水（</w:t>
      </w:r>
      <w:r>
        <w:rPr>
          <w:spacing w:val="-82"/>
        </w:rPr>
        <w:t xml:space="preserve"> </w:t>
      </w:r>
      <w:r>
        <w:t>泡沫）</w:t>
      </w:r>
      <w:r>
        <w:rPr>
          <w:spacing w:val="-87"/>
        </w:rPr>
        <w:t xml:space="preserve"> </w:t>
      </w:r>
      <w:r>
        <w:t>≤</w:t>
      </w:r>
      <w:r>
        <w:rPr>
          <w:rFonts w:ascii="Times New Roman" w:hAnsi="Times New Roman" w:eastAsia="Times New Roman" w:cs="Times New Roman"/>
        </w:rPr>
        <w:t>5min</w:t>
      </w:r>
      <w:r>
        <w:rPr>
          <w:spacing w:val="22"/>
        </w:rPr>
        <w:t>；（</w:t>
      </w:r>
      <w:r>
        <w:rPr>
          <w:rFonts w:ascii="Times New Roman" w:hAnsi="Times New Roman" w:eastAsia="Times New Roman" w:cs="Times New Roman"/>
        </w:rPr>
        <w:t>3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t>）研</w:t>
      </w:r>
      <w:r>
        <w:rPr>
          <w:spacing w:val="-1"/>
        </w:rPr>
        <w:t>发无人机应用管控</w:t>
      </w:r>
      <w:r>
        <w:rPr>
          <w:spacing w:val="7"/>
        </w:rPr>
        <w:t>平台，接警后无人机调度出发≤</w:t>
      </w:r>
      <w:r>
        <w:rPr>
          <w:rFonts w:ascii="Times New Roman" w:hAnsi="Times New Roman" w:eastAsia="Times New Roman" w:cs="Times New Roman"/>
          <w:spacing w:val="7"/>
        </w:rPr>
        <w:t>30s</w:t>
      </w:r>
      <w:r>
        <w:rPr>
          <w:spacing w:val="7"/>
        </w:rPr>
        <w:t>，识别场景不少于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5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7"/>
        </w:rPr>
        <w:t>类</w:t>
      </w:r>
      <w:r>
        <w:rPr>
          <w:spacing w:val="-74"/>
          <w:w w:val="85"/>
        </w:rPr>
        <w:t>；（</w:t>
      </w:r>
      <w:r>
        <w:rPr>
          <w:rFonts w:ascii="Times New Roman" w:hAnsi="Times New Roman" w:eastAsia="Times New Roman" w:cs="Times New Roman"/>
          <w:spacing w:val="7"/>
        </w:rPr>
        <w:t>4</w:t>
      </w:r>
      <w:r>
        <w:rPr>
          <w:spacing w:val="7"/>
        </w:rPr>
        <w:t>）</w:t>
      </w:r>
      <w:r>
        <w:rPr>
          <w:spacing w:val="8"/>
        </w:rPr>
        <w:t>研发机械外骨骼</w:t>
      </w:r>
      <w:r>
        <w:rPr>
          <w:spacing w:val="-89"/>
        </w:rPr>
        <w:t xml:space="preserve"> </w:t>
      </w:r>
      <w:r>
        <w:rPr>
          <w:spacing w:val="8"/>
        </w:rPr>
        <w:t>，减少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50%</w:t>
      </w:r>
      <w:r>
        <w:rPr>
          <w:spacing w:val="8"/>
        </w:rPr>
        <w:t>以上体力消耗</w:t>
      </w:r>
      <w:r>
        <w:rPr>
          <w:spacing w:val="-91"/>
        </w:rPr>
        <w:t xml:space="preserve"> </w:t>
      </w:r>
      <w:r>
        <w:rPr>
          <w:spacing w:val="-32"/>
        </w:rPr>
        <w:t>；（</w:t>
      </w:r>
      <w:r>
        <w:rPr>
          <w:spacing w:val="-87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 xml:space="preserve">5 </w:t>
      </w:r>
      <w:r>
        <w:rPr>
          <w:spacing w:val="8"/>
        </w:rPr>
        <w:t>）开发无人机</w:t>
      </w:r>
      <w:r>
        <w:rPr>
          <w:rFonts w:ascii="Times New Roman" w:hAnsi="Times New Roman" w:eastAsia="Times New Roman" w:cs="Times New Roman"/>
          <w:spacing w:val="8"/>
        </w:rPr>
        <w:t>-</w:t>
      </w:r>
      <w:r>
        <w:rPr>
          <w:spacing w:val="3"/>
        </w:rPr>
        <w:t>地面装备－消防员救援协作算法模型，支持不少于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5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</w:t>
      </w:r>
      <w:r>
        <w:rPr>
          <w:spacing w:val="3"/>
        </w:rPr>
        <w:t>种作</w:t>
      </w:r>
      <w:r>
        <w:rPr>
          <w:spacing w:val="2"/>
        </w:rPr>
        <w:t>业场景</w:t>
      </w:r>
      <w:r>
        <w:rPr>
          <w:spacing w:val="22"/>
        </w:rPr>
        <w:t>和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22"/>
        </w:rPr>
        <w:t>3</w:t>
      </w:r>
      <w:r>
        <w:rPr>
          <w:rFonts w:ascii="Times New Roman" w:hAnsi="Times New Roman" w:eastAsia="Times New Roman" w:cs="Times New Roman"/>
          <w:spacing w:val="55"/>
        </w:rPr>
        <w:t xml:space="preserve"> </w:t>
      </w:r>
      <w:r>
        <w:rPr>
          <w:spacing w:val="22"/>
        </w:rPr>
        <w:t>类无人装备</w:t>
      </w:r>
      <w:r>
        <w:rPr>
          <w:spacing w:val="-80"/>
        </w:rPr>
        <w:t xml:space="preserve"> </w:t>
      </w:r>
      <w:r>
        <w:rPr>
          <w:spacing w:val="22"/>
        </w:rPr>
        <w:t>，高层建筑周边内部道路识别准确率不低于</w:t>
      </w:r>
      <w:r>
        <w:t xml:space="preserve"> </w:t>
      </w:r>
      <w:r>
        <w:rPr>
          <w:rFonts w:ascii="Times New Roman" w:hAnsi="Times New Roman" w:eastAsia="Times New Roman" w:cs="Times New Roman"/>
          <w:spacing w:val="5"/>
        </w:rPr>
        <w:t>95%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-62"/>
        </w:rPr>
        <w:t>；（</w:t>
      </w:r>
      <w:r>
        <w:rPr>
          <w:rFonts w:ascii="Times New Roman" w:hAnsi="Times New Roman" w:eastAsia="Times New Roman" w:cs="Times New Roman"/>
          <w:spacing w:val="5"/>
        </w:rPr>
        <w:t>6</w:t>
      </w:r>
      <w:r>
        <w:rPr>
          <w:spacing w:val="5"/>
        </w:rPr>
        <w:t>）</w:t>
      </w:r>
      <w:r>
        <w:rPr>
          <w:spacing w:val="-78"/>
        </w:rPr>
        <w:t xml:space="preserve"> </w:t>
      </w:r>
      <w:r>
        <w:rPr>
          <w:spacing w:val="5"/>
        </w:rPr>
        <w:t>申请发明专利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5"/>
        </w:rPr>
        <w:t>项，制定行业或地方标准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5"/>
        </w:rPr>
        <w:t>项。</w:t>
      </w:r>
    </w:p>
    <w:p w14:paraId="70222AD7">
      <w:pPr>
        <w:spacing w:line="410" w:lineRule="exact"/>
        <w:ind w:left="65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position w:val="1"/>
          <w:sz w:val="31"/>
          <w:szCs w:val="31"/>
        </w:rPr>
        <w:t>组织方式：与省消防救援总队共同组织</w:t>
      </w:r>
    </w:p>
    <w:p w14:paraId="665F2570">
      <w:pPr>
        <w:pStyle w:val="2"/>
        <w:spacing w:before="100" w:line="351" w:lineRule="auto"/>
        <w:ind w:right="124"/>
        <w:jc w:val="both"/>
      </w:pPr>
      <w:r>
        <w:rPr>
          <w:rFonts w:ascii="Times New Roman" w:hAnsi="Times New Roman" w:eastAsia="Times New Roman" w:cs="Times New Roman"/>
          <w:spacing w:val="8"/>
        </w:rPr>
        <w:t xml:space="preserve">3009  </w:t>
      </w:r>
      <w:r>
        <w:rPr>
          <w:rFonts w:ascii="微软雅黑" w:hAnsi="微软雅黑" w:eastAsia="微软雅黑" w:cs="微软雅黑"/>
          <w:spacing w:val="8"/>
        </w:rPr>
        <w:t>基于地下开发引起的环境动态监测感知关键技术研发</w:t>
      </w:r>
      <w:r>
        <w:rPr>
          <w:b/>
          <w:bCs/>
          <w:spacing w:val="4"/>
        </w:rPr>
        <w:t>研究内容：</w:t>
      </w:r>
      <w:r>
        <w:rPr>
          <w:spacing w:val="4"/>
        </w:rPr>
        <w:t>围绕国家可持续发展议程创新示范区建设，</w:t>
      </w:r>
      <w:r>
        <w:rPr>
          <w:spacing w:val="3"/>
        </w:rPr>
        <w:t>针对</w:t>
      </w:r>
      <w:r>
        <w:rPr>
          <w:spacing w:val="4"/>
        </w:rPr>
        <w:t>地下开发引发的地上环境损伤感知与风险识别需求，通过空天地孔协同观测、时空智能计算等技术手段搭建协同感知平台，重点突破要素损伤定量评价、多传感器建构筑物形变精准提取等关键技术，实现地表生态环境、建构筑物稳定性与有害气体排放的动态监测，开展工矿地等典型地下开发区域的地上环境损伤感知应</w:t>
      </w:r>
      <w:r>
        <w:rPr>
          <w:spacing w:val="-1"/>
        </w:rPr>
        <w:t>用示范。</w:t>
      </w:r>
    </w:p>
    <w:p w14:paraId="0170E73F">
      <w:pPr>
        <w:pStyle w:val="2"/>
        <w:spacing w:before="4" w:line="350" w:lineRule="auto"/>
        <w:ind w:left="26" w:right="10" w:firstLine="630"/>
        <w:jc w:val="both"/>
      </w:pPr>
      <w:r>
        <w:rPr>
          <w:b/>
          <w:bCs/>
          <w:spacing w:val="-2"/>
        </w:rPr>
        <w:t>考核指标</w:t>
      </w:r>
      <w:r>
        <w:rPr>
          <w:spacing w:val="-17"/>
        </w:rPr>
        <w:t>：（</w:t>
      </w:r>
      <w:r>
        <w:rPr>
          <w:spacing w:val="-7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spacing w:val="-2"/>
        </w:rPr>
        <w:t>）研制地下开发地上环境损伤感</w:t>
      </w:r>
      <w:r>
        <w:rPr>
          <w:spacing w:val="-3"/>
        </w:rPr>
        <w:t>知平台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个，</w:t>
      </w:r>
      <w:r>
        <w:rPr>
          <w:spacing w:val="3"/>
        </w:rPr>
        <w:t>生态损伤识别准确率大于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85%</w:t>
      </w:r>
      <w:r>
        <w:rPr>
          <w:spacing w:val="3"/>
        </w:rPr>
        <w:t>，建构筑物形变监测精度达到</w:t>
      </w:r>
      <w:r>
        <w:rPr>
          <w:spacing w:val="2"/>
        </w:rPr>
        <w:t>毫米</w:t>
      </w:r>
      <w:r>
        <w:rPr>
          <w:spacing w:val="1"/>
        </w:rPr>
        <w:t>级，建构筑物安全风险识别准确率优于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85%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1"/>
        </w:rPr>
        <w:t>，有害气体排放通量</w:t>
      </w:r>
      <w:r>
        <w:rPr>
          <w:spacing w:val="-9"/>
        </w:rPr>
        <w:t>估算相对误差小于</w:t>
      </w:r>
      <w:r>
        <w:rPr>
          <w:spacing w:val="-78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30%</w:t>
      </w:r>
      <w:r>
        <w:rPr>
          <w:spacing w:val="-64"/>
          <w:w w:val="73"/>
        </w:rPr>
        <w:t>；（</w:t>
      </w:r>
      <w:r>
        <w:rPr>
          <w:rFonts w:ascii="Times New Roman" w:hAnsi="Times New Roman" w:eastAsia="Times New Roman" w:cs="Times New Roman"/>
          <w:spacing w:val="-9"/>
        </w:rPr>
        <w:t>2</w:t>
      </w:r>
      <w:r>
        <w:rPr>
          <w:spacing w:val="-9"/>
        </w:rPr>
        <w:t>）选择至少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 xml:space="preserve">1 </w:t>
      </w:r>
      <w:r>
        <w:rPr>
          <w:spacing w:val="-9"/>
        </w:rPr>
        <w:t>个典型场景</w:t>
      </w:r>
      <w:r>
        <w:rPr>
          <w:spacing w:val="-10"/>
        </w:rPr>
        <w:t>开展应用示范；</w:t>
      </w:r>
    </w:p>
    <w:p w14:paraId="26FB582B">
      <w:pPr>
        <w:pStyle w:val="2"/>
        <w:spacing w:before="6"/>
      </w:pPr>
      <w:r>
        <w:rPr>
          <w:spacing w:val="-6"/>
        </w:rPr>
        <w:t>（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）申请发明专利</w:t>
      </w:r>
      <w:r>
        <w:rPr>
          <w:spacing w:val="-7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3 </w:t>
      </w:r>
      <w:r>
        <w:rPr>
          <w:spacing w:val="-6"/>
        </w:rPr>
        <w:t>项，制订国家、行业或地方标准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1 </w:t>
      </w:r>
      <w:r>
        <w:rPr>
          <w:spacing w:val="-6"/>
        </w:rPr>
        <w:t>项。</w:t>
      </w:r>
    </w:p>
    <w:p w14:paraId="351D9522">
      <w:pPr>
        <w:pStyle w:val="2"/>
        <w:spacing w:before="191" w:line="304" w:lineRule="auto"/>
        <w:ind w:left="654" w:right="165" w:hanging="3"/>
        <w:rPr>
          <w:rFonts w:ascii="黑体" w:hAnsi="黑体" w:eastAsia="黑体" w:cs="黑体"/>
          <w:spacing w:val="4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组织方式：与徐州国家可持续发展议程创新示范区共同组织</w:t>
      </w:r>
    </w:p>
    <w:p w14:paraId="4B483FB9">
      <w:pPr>
        <w:spacing w:before="173" w:line="306" w:lineRule="auto"/>
        <w:ind w:right="126" w:firstLine="652" w:firstLineChars="20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3010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融合多模态数据的竞技智能体关键技术研发</w:t>
      </w:r>
    </w:p>
    <w:p w14:paraId="1953FE2D">
      <w:pPr>
        <w:pStyle w:val="2"/>
        <w:spacing w:before="3" w:line="349" w:lineRule="auto"/>
        <w:ind w:left="29" w:right="22" w:firstLine="624"/>
      </w:pPr>
      <w:r>
        <w:rPr>
          <w:b/>
          <w:bCs/>
          <w:spacing w:val="6"/>
        </w:rPr>
        <w:t>研究内容</w:t>
      </w:r>
      <w:r>
        <w:rPr>
          <w:b/>
          <w:bCs/>
          <w:spacing w:val="-7"/>
        </w:rPr>
        <w:t>：</w:t>
      </w:r>
      <w:r>
        <w:rPr>
          <w:spacing w:val="-7"/>
        </w:rPr>
        <w:t>（</w:t>
      </w:r>
      <w:r>
        <w:rPr>
          <w:spacing w:val="-72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6"/>
        </w:rPr>
        <w:t>）围绕体育运动员竞技状态智能化管理，研</w:t>
      </w:r>
      <w:r>
        <w:rPr>
          <w:spacing w:val="-3"/>
        </w:rPr>
        <w:t>发柔性可穿戴设备，采集多模态数据，构建覆竞技状态知识图谱；</w:t>
      </w:r>
    </w:p>
    <w:p w14:paraId="6A4C4C03">
      <w:pPr>
        <w:pStyle w:val="2"/>
        <w:numPr>
          <w:ilvl w:val="0"/>
          <w:numId w:val="1"/>
        </w:numPr>
        <w:spacing w:before="5" w:line="351" w:lineRule="auto"/>
        <w:ind w:left="22" w:hanging="22"/>
        <w:jc w:val="both"/>
      </w:pPr>
      <w:r>
        <w:rPr>
          <w:spacing w:val="-6"/>
        </w:rPr>
        <w:t>研发竞技状态垂直大模型，实现个性生理</w:t>
      </w:r>
      <w:r>
        <w:rPr>
          <w:spacing w:val="-7"/>
        </w:rPr>
        <w:t>心理状态动态识别、</w:t>
      </w:r>
      <w:r>
        <w:rPr>
          <w:spacing w:val="5"/>
        </w:rPr>
        <w:t>风险预测与干预方案自动生成</w:t>
      </w:r>
      <w:r>
        <w:rPr>
          <w:spacing w:val="-78"/>
        </w:rPr>
        <w:t>；（</w:t>
      </w:r>
      <w:r>
        <w:rPr>
          <w:rFonts w:ascii="Times New Roman" w:hAnsi="Times New Roman" w:eastAsia="Times New Roman" w:cs="Times New Roman"/>
          <w:spacing w:val="5"/>
        </w:rPr>
        <w:t>3</w:t>
      </w:r>
      <w:r>
        <w:rPr>
          <w:spacing w:val="5"/>
        </w:rPr>
        <w:t>）构建多智能体系统，围绕心</w:t>
      </w:r>
      <w:r>
        <w:rPr>
          <w:spacing w:val="4"/>
        </w:rPr>
        <w:t>理干预、训练优化、教练辅助等典型应用场景，实现复杂竞技环</w:t>
      </w:r>
      <w:r>
        <w:rPr>
          <w:spacing w:val="6"/>
        </w:rPr>
        <w:t>境下多智能体的集群分工与策略协同</w:t>
      </w:r>
      <w:r>
        <w:rPr>
          <w:spacing w:val="-85"/>
          <w:w w:val="98"/>
        </w:rPr>
        <w:t>；（</w:t>
      </w:r>
      <w:r>
        <w:rPr>
          <w:rFonts w:ascii="Times New Roman" w:hAnsi="Times New Roman" w:eastAsia="Times New Roman" w:cs="Times New Roman"/>
          <w:spacing w:val="6"/>
        </w:rPr>
        <w:t>4</w:t>
      </w:r>
      <w:r>
        <w:rPr>
          <w:spacing w:val="6"/>
        </w:rPr>
        <w:t>）集成应用至</w:t>
      </w:r>
      <w:r>
        <w:rPr>
          <w:spacing w:val="5"/>
        </w:rPr>
        <w:t>省级体育</w:t>
      </w:r>
      <w:r>
        <w:rPr>
          <w:spacing w:val="4"/>
        </w:rPr>
        <w:t>训练单位与运动队，验证多智能体系统可行性，形成标准化、可</w:t>
      </w:r>
      <w:r>
        <w:rPr>
          <w:spacing w:val="3"/>
        </w:rPr>
        <w:t>复制的竞技智能管理模式。</w:t>
      </w:r>
    </w:p>
    <w:p w14:paraId="23070484">
      <w:pPr>
        <w:pStyle w:val="2"/>
        <w:numPr>
          <w:numId w:val="0"/>
        </w:numPr>
        <w:spacing w:before="5" w:line="351" w:lineRule="auto"/>
        <w:ind w:leftChars="0" w:firstLine="316" w:firstLineChars="100"/>
        <w:jc w:val="both"/>
        <w:rPr>
          <w:spacing w:val="1"/>
        </w:rPr>
      </w:pPr>
      <w:r>
        <w:rPr>
          <w:rFonts w:hint="eastAsia"/>
          <w:spacing w:val="3"/>
          <w:lang w:val="en-US" w:eastAsia="zh-CN"/>
        </w:rPr>
        <w:t xml:space="preserve"> </w:t>
      </w:r>
      <w:r>
        <w:rPr>
          <w:b/>
          <w:bCs/>
          <w:spacing w:val="-1"/>
        </w:rPr>
        <w:t>考核指标</w:t>
      </w:r>
      <w:r>
        <w:rPr>
          <w:spacing w:val="-35"/>
        </w:rPr>
        <w:t>：（</w:t>
      </w:r>
      <w:r>
        <w:rPr>
          <w:spacing w:val="-7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spacing w:val="-1"/>
        </w:rPr>
        <w:t>）研发可采集多模态数据的柔性可穿戴设备</w:t>
      </w:r>
      <w:r>
        <w:rPr>
          <w:rFonts w:hint="eastAsia"/>
          <w:spacing w:val="-1"/>
          <w:lang w:val="en-US" w:eastAsia="zh-CN"/>
        </w:rPr>
        <w:t>1个，完成医疗器械</w:t>
      </w:r>
      <w:r>
        <w:rPr>
          <w:spacing w:val="5"/>
        </w:rPr>
        <w:t>注册认证</w:t>
      </w:r>
      <w:r>
        <w:rPr>
          <w:spacing w:val="-78"/>
        </w:rPr>
        <w:t>；（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spacing w:val="5"/>
        </w:rPr>
        <w:t>）构建结构化运动员</w:t>
      </w:r>
      <w:r>
        <w:rPr>
          <w:spacing w:val="4"/>
        </w:rPr>
        <w:t>状态多模态</w:t>
      </w:r>
      <w:r>
        <w:rPr>
          <w:spacing w:val="3"/>
        </w:rPr>
        <w:t>知识库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 xml:space="preserve">1 </w:t>
      </w:r>
      <w:r>
        <w:rPr>
          <w:spacing w:val="3"/>
        </w:rPr>
        <w:t>个，具备动态更新与智能检索能力</w:t>
      </w:r>
      <w:r>
        <w:rPr>
          <w:spacing w:val="-71"/>
        </w:rPr>
        <w:t>；（</w:t>
      </w:r>
      <w:r>
        <w:rPr>
          <w:rFonts w:ascii="Times New Roman" w:hAnsi="Times New Roman" w:eastAsia="Times New Roman" w:cs="Times New Roman"/>
          <w:spacing w:val="3"/>
        </w:rPr>
        <w:t>3</w:t>
      </w:r>
      <w:r>
        <w:rPr>
          <w:spacing w:val="3"/>
        </w:rPr>
        <w:t>）研发竞技大模型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 xml:space="preserve">1 </w:t>
      </w:r>
      <w:r>
        <w:rPr>
          <w:spacing w:val="3"/>
        </w:rPr>
        <w:t>套，形成标准化智能评估工具包</w:t>
      </w:r>
      <w:r>
        <w:rPr>
          <w:spacing w:val="-71"/>
        </w:rPr>
        <w:t>；（</w:t>
      </w:r>
      <w:r>
        <w:rPr>
          <w:rFonts w:ascii="Times New Roman" w:hAnsi="Times New Roman" w:eastAsia="Times New Roman" w:cs="Times New Roman"/>
          <w:spacing w:val="3"/>
        </w:rPr>
        <w:t>4</w:t>
      </w:r>
      <w:r>
        <w:rPr>
          <w:spacing w:val="3"/>
        </w:rPr>
        <w:t>）开发可实现智能体集群分工与协作的多智能体系统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3"/>
        </w:rPr>
        <w:t>套，支持智能</w:t>
      </w:r>
      <w:r>
        <w:rPr>
          <w:spacing w:val="2"/>
        </w:rPr>
        <w:t>评估与闭环管理，</w:t>
      </w:r>
      <w:r>
        <w:rPr>
          <w:spacing w:val="4"/>
        </w:rPr>
        <w:t>在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15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4"/>
        </w:rPr>
        <w:t>支以上高水平运动队进行应用验证</w:t>
      </w:r>
      <w:r>
        <w:rPr>
          <w:spacing w:val="-63"/>
        </w:rPr>
        <w:t>；（</w:t>
      </w:r>
      <w:r>
        <w:rPr>
          <w:rFonts w:ascii="Times New Roman" w:hAnsi="Times New Roman" w:eastAsia="Times New Roman" w:cs="Times New Roman"/>
          <w:spacing w:val="4"/>
        </w:rPr>
        <w:t>5</w:t>
      </w:r>
      <w:r>
        <w:rPr>
          <w:spacing w:val="4"/>
        </w:rPr>
        <w:t>）</w:t>
      </w:r>
      <w:r>
        <w:rPr>
          <w:spacing w:val="-82"/>
        </w:rPr>
        <w:t xml:space="preserve"> </w:t>
      </w:r>
      <w:r>
        <w:rPr>
          <w:spacing w:val="4"/>
        </w:rPr>
        <w:t>申请发明专利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3</w:t>
      </w:r>
      <w:r>
        <w:rPr>
          <w:spacing w:val="1"/>
        </w:rPr>
        <w:t>项，制订有关国家、行业或团体标准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1"/>
        </w:rPr>
        <w:t>项。</w:t>
      </w:r>
    </w:p>
    <w:p w14:paraId="672AD457">
      <w:pPr>
        <w:spacing w:line="410" w:lineRule="exact"/>
        <w:rPr>
          <w:rFonts w:ascii="黑体" w:hAnsi="黑体" w:eastAsia="黑体" w:cs="黑体"/>
          <w:sz w:val="31"/>
          <w:szCs w:val="31"/>
        </w:rPr>
      </w:pPr>
      <w:r>
        <w:rPr>
          <w:rFonts w:hint="eastAsia"/>
          <w:spacing w:val="1"/>
          <w:lang w:val="en-US" w:eastAsia="zh-CN"/>
        </w:rPr>
        <w:t xml:space="preserve">  </w:t>
      </w:r>
      <w:r>
        <w:rPr>
          <w:rFonts w:ascii="黑体" w:hAnsi="黑体" w:eastAsia="黑体" w:cs="黑体"/>
          <w:spacing w:val="3"/>
          <w:position w:val="1"/>
          <w:sz w:val="31"/>
          <w:szCs w:val="31"/>
        </w:rPr>
        <w:t>组织方式：与省体育局共同组织</w:t>
      </w:r>
    </w:p>
    <w:p w14:paraId="78732561">
      <w:pPr>
        <w:spacing w:before="179" w:line="412" w:lineRule="exact"/>
        <w:ind w:left="6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2"/>
          <w:sz w:val="31"/>
          <w:szCs w:val="31"/>
        </w:rPr>
        <w:t>二、面上项目</w:t>
      </w:r>
    </w:p>
    <w:p w14:paraId="2C689107">
      <w:pPr>
        <w:pStyle w:val="2"/>
        <w:spacing w:before="190" w:line="350" w:lineRule="auto"/>
        <w:ind w:left="11" w:right="104" w:firstLine="635"/>
        <w:jc w:val="both"/>
        <w:rPr>
          <w:spacing w:val="8"/>
        </w:rPr>
      </w:pPr>
      <w:r>
        <w:rPr>
          <w:spacing w:val="4"/>
        </w:rPr>
        <w:t>重点围绕食品安全、文化旅游、运动健康、生态</w:t>
      </w:r>
      <w:r>
        <w:rPr>
          <w:spacing w:val="3"/>
        </w:rPr>
        <w:t>修复等民生</w:t>
      </w:r>
      <w:r>
        <w:rPr>
          <w:spacing w:val="4"/>
        </w:rPr>
        <w:t>相关或区域特点显著的领域开展研究，攻克一批关键技术，须形</w:t>
      </w:r>
      <w:r>
        <w:rPr>
          <w:spacing w:val="8"/>
        </w:rPr>
        <w:t>成相关领域的专利、软著、标准等代表性成果。</w:t>
      </w:r>
    </w:p>
    <w:p w14:paraId="32CEC858">
      <w:pPr>
        <w:spacing w:before="3" w:line="201" w:lineRule="auto"/>
        <w:ind w:left="62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4001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食品安全快速检测和溯源关键技术研究</w:t>
      </w:r>
    </w:p>
    <w:p w14:paraId="315AFCF5">
      <w:pPr>
        <w:pStyle w:val="2"/>
        <w:spacing w:before="149" w:line="351" w:lineRule="auto"/>
        <w:ind w:firstLine="632"/>
      </w:pPr>
      <w:r>
        <w:rPr>
          <w:b/>
          <w:bCs/>
          <w:spacing w:val="-4"/>
        </w:rPr>
        <w:t>研究内容：</w:t>
      </w:r>
      <w:r>
        <w:rPr>
          <w:spacing w:val="-4"/>
        </w:rPr>
        <w:t>开展人畜共患疾病、食源性致病菌的生物学研究，</w:t>
      </w:r>
      <w:r>
        <w:rPr>
          <w:spacing w:val="4"/>
        </w:rPr>
        <w:t>发掘新型检测靶标；研发融合噬菌体元件等高特异性、准确、快</w:t>
      </w:r>
      <w:r>
        <w:rPr>
          <w:spacing w:val="8"/>
        </w:rPr>
        <w:t>速、便捷的检测技术和方法，开展适用于临床检测、宰前检疫、</w:t>
      </w:r>
      <w:r>
        <w:rPr>
          <w:spacing w:val="4"/>
        </w:rPr>
        <w:t>肉品和水产品监测、非法添加物鉴别、污染物筛查等不同应用场景的快速检测产品和配套的病原标准物质；对动物性食品进行溯源研究。</w:t>
      </w:r>
    </w:p>
    <w:p w14:paraId="76648796">
      <w:pPr>
        <w:spacing w:line="201" w:lineRule="auto"/>
        <w:ind w:left="621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4002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智慧化社区运动健康关键技术研发</w:t>
      </w:r>
    </w:p>
    <w:p w14:paraId="6DEBD787">
      <w:pPr>
        <w:pStyle w:val="2"/>
        <w:spacing w:before="149" w:line="351" w:lineRule="auto"/>
        <w:ind w:firstLine="632"/>
        <w:rPr>
          <w:spacing w:val="8"/>
        </w:rPr>
      </w:pPr>
      <w:r>
        <w:rPr>
          <w:b/>
          <w:bCs/>
          <w:spacing w:val="9"/>
        </w:rPr>
        <w:t>研究内容：</w:t>
      </w:r>
      <w:r>
        <w:rPr>
          <w:spacing w:val="8"/>
        </w:rPr>
        <w:t>研发一套集成 AI 个性化运动指导、智能器械数据采集、社区健康活动组织等功能的社区运动健康服务系统，可部署应用于社区健身点、体育公园的共享式智能运动终端，实</w:t>
      </w:r>
      <w:r>
        <w:rPr>
          <w:rFonts w:hint="eastAsia"/>
          <w:spacing w:val="8"/>
          <w:lang w:eastAsia="zh-CN"/>
        </w:rPr>
        <w:t>现运动</w:t>
      </w:r>
      <w:r>
        <w:rPr>
          <w:spacing w:val="8"/>
        </w:rPr>
        <w:t>实时监测与矫正反馈。</w:t>
      </w:r>
    </w:p>
    <w:p w14:paraId="405886D7">
      <w:pPr>
        <w:spacing w:before="182" w:line="201" w:lineRule="auto"/>
        <w:ind w:firstLine="326" w:firstLineChars="100"/>
        <w:rPr>
          <w:rFonts w:ascii="微软雅黑" w:hAnsi="微软雅黑" w:eastAsia="微软雅黑" w:cs="微软雅黑"/>
          <w:spacing w:val="8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4003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基于野生动物保护的生态修复关键技术研究</w:t>
      </w:r>
    </w:p>
    <w:p w14:paraId="0554BAAA">
      <w:pPr>
        <w:pStyle w:val="2"/>
        <w:spacing w:before="143" w:line="351" w:lineRule="auto"/>
        <w:ind w:right="4" w:firstLine="640"/>
        <w:rPr>
          <w:spacing w:val="8"/>
        </w:rPr>
      </w:pPr>
      <w:r>
        <w:rPr>
          <w:b/>
          <w:bCs/>
          <w:spacing w:val="4"/>
        </w:rPr>
        <w:t>研究内容：</w:t>
      </w:r>
      <w:r>
        <w:rPr>
          <w:spacing w:val="4"/>
        </w:rPr>
        <w:t>利用多源数据融合技术，开展野</w:t>
      </w:r>
      <w:r>
        <w:rPr>
          <w:spacing w:val="3"/>
        </w:rPr>
        <w:t>生动物栖息地识</w:t>
      </w:r>
      <w:r>
        <w:rPr>
          <w:spacing w:val="5"/>
        </w:rPr>
        <w:t>别与保护优先评估关键技术研究。研发智慧监测管</w:t>
      </w:r>
      <w:r>
        <w:rPr>
          <w:spacing w:val="4"/>
        </w:rPr>
        <w:t>理平台，形成</w:t>
      </w:r>
      <w:r>
        <w:rPr>
          <w:spacing w:val="8"/>
        </w:rPr>
        <w:t>“声纹</w:t>
      </w:r>
      <w:r>
        <w:rPr>
          <w:rFonts w:ascii="Times New Roman" w:hAnsi="Times New Roman" w:eastAsia="Times New Roman" w:cs="Times New Roman"/>
          <w:spacing w:val="8"/>
        </w:rPr>
        <w:t>+</w:t>
      </w:r>
      <w:r>
        <w:rPr>
          <w:spacing w:val="8"/>
        </w:rPr>
        <w:t>影像</w:t>
      </w:r>
      <w:r>
        <w:rPr>
          <w:rFonts w:ascii="Times New Roman" w:hAnsi="Times New Roman" w:eastAsia="Times New Roman" w:cs="Times New Roman"/>
          <w:spacing w:val="8"/>
        </w:rPr>
        <w:t>+</w:t>
      </w:r>
      <w:r>
        <w:rPr>
          <w:spacing w:val="8"/>
        </w:rPr>
        <w:t>卫星</w:t>
      </w:r>
      <w:r>
        <w:rPr>
          <w:rFonts w:ascii="Times New Roman" w:hAnsi="Times New Roman" w:eastAsia="Times New Roman" w:cs="Times New Roman"/>
          <w:spacing w:val="8"/>
        </w:rPr>
        <w:t>+</w:t>
      </w:r>
      <w:r>
        <w:rPr>
          <w:spacing w:val="8"/>
        </w:rPr>
        <w:t>无人机”一体化智慧监测体系，构建生态修复的动态评估与管理模式。</w:t>
      </w:r>
    </w:p>
    <w:p w14:paraId="13ED2584">
      <w:pPr>
        <w:spacing w:before="3" w:line="201" w:lineRule="auto"/>
        <w:ind w:left="629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4004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濒危古树名木智能检测与动态监管关键技术研究</w:t>
      </w:r>
    </w:p>
    <w:p w14:paraId="324B0409">
      <w:pPr>
        <w:pStyle w:val="2"/>
        <w:spacing w:before="146" w:line="351" w:lineRule="auto"/>
        <w:ind w:left="13" w:right="2" w:firstLine="627"/>
      </w:pPr>
      <w:r>
        <w:rPr>
          <w:b/>
          <w:bCs/>
          <w:spacing w:val="16"/>
        </w:rPr>
        <w:t>研究内容：</w:t>
      </w:r>
      <w:r>
        <w:rPr>
          <w:spacing w:val="16"/>
        </w:rPr>
        <w:t>针对我省大量濒危古树亟待抢救复壮的迫切需</w:t>
      </w:r>
      <w:r>
        <w:rPr>
          <w:spacing w:val="4"/>
        </w:rPr>
        <w:t>求，开展濒危古树的健康状况诊断，运用数字孪生技术提出解决方案；开展针对性的抢救保护和生态修复技术研究，实现对古树</w:t>
      </w:r>
      <w:r>
        <w:rPr>
          <w:spacing w:val="3"/>
        </w:rPr>
        <w:t>本身及其生长环境的实时动态监管。</w:t>
      </w:r>
    </w:p>
    <w:p w14:paraId="1EDB26A4">
      <w:pPr>
        <w:spacing w:line="201" w:lineRule="auto"/>
        <w:ind w:left="629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4005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江苏特色文化遗产保护与传承关键技术研发</w:t>
      </w:r>
    </w:p>
    <w:p w14:paraId="74C0E271">
      <w:pPr>
        <w:pStyle w:val="2"/>
        <w:spacing w:before="142" w:line="351" w:lineRule="auto"/>
        <w:ind w:left="16" w:firstLine="624"/>
      </w:pPr>
      <w:r>
        <w:rPr>
          <w:b/>
          <w:bCs/>
          <w:spacing w:val="4"/>
        </w:rPr>
        <w:t>研究内容：</w:t>
      </w:r>
      <w:r>
        <w:rPr>
          <w:spacing w:val="4"/>
        </w:rPr>
        <w:t>围绕江苏省文化遗产保护与利用的重大需求，利用人工智能等技术研发虚拟交互模型，构建可推理知识图谱和智能问答系统，形成大众传播和虚拟深层体验的一体化系统，实现</w:t>
      </w:r>
      <w:r>
        <w:rPr>
          <w:spacing w:val="3"/>
        </w:rPr>
        <w:t>数字化显性留存和活态传承。</w:t>
      </w:r>
    </w:p>
    <w:p w14:paraId="5217C5A9">
      <w:pPr>
        <w:spacing w:before="5" w:line="201" w:lineRule="auto"/>
        <w:ind w:left="629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4006  </w:t>
      </w:r>
      <w:r>
        <w:rPr>
          <w:rFonts w:ascii="微软雅黑" w:hAnsi="微软雅黑" w:eastAsia="微软雅黑" w:cs="微软雅黑"/>
          <w:spacing w:val="8"/>
          <w:sz w:val="31"/>
          <w:szCs w:val="31"/>
        </w:rPr>
        <w:t>大运河沿线城市更新与文旅融合关键技术研发</w:t>
      </w:r>
    </w:p>
    <w:p w14:paraId="33CBCC75">
      <w:pPr>
        <w:pStyle w:val="2"/>
        <w:spacing w:before="143" w:line="351" w:lineRule="auto"/>
        <w:ind w:right="4" w:firstLine="640"/>
        <w:rPr>
          <w:rFonts w:hint="eastAsia" w:eastAsia="仿宋"/>
          <w:spacing w:val="8"/>
          <w:lang w:eastAsia="zh-CN"/>
        </w:rPr>
      </w:pPr>
      <w:r>
        <w:rPr>
          <w:b/>
          <w:bCs/>
          <w:spacing w:val="4"/>
        </w:rPr>
        <w:t>研究内容：</w:t>
      </w:r>
      <w:r>
        <w:rPr>
          <w:spacing w:val="4"/>
        </w:rPr>
        <w:t>围绕大运河沿线城市更新与文旅融合，利用数字技术分析街巷肌理等，研究城市空间的形态基因图谱绘制技术，开发文旅空间效能评估模型，突破面向文旅功能的城市空间织补与链接技术，建立沉浸式游览与消费动线的共生融合系</w:t>
      </w:r>
      <w:r>
        <w:rPr>
          <w:rFonts w:hint="eastAsia"/>
          <w:spacing w:val="4"/>
          <w:lang w:eastAsia="zh-CN"/>
        </w:rPr>
        <w:t>统。</w:t>
      </w:r>
    </w:p>
    <w:p w14:paraId="43C3BC86">
      <w:pPr>
        <w:spacing w:before="182" w:line="201" w:lineRule="auto"/>
        <w:ind w:firstLine="326" w:firstLineChars="100"/>
        <w:rPr>
          <w:rFonts w:ascii="微软雅黑" w:hAnsi="微软雅黑" w:eastAsia="微软雅黑" w:cs="微软雅黑"/>
          <w:spacing w:val="8"/>
          <w:sz w:val="31"/>
          <w:szCs w:val="31"/>
        </w:rPr>
      </w:pPr>
    </w:p>
    <w:p w14:paraId="6289909D">
      <w:pPr>
        <w:pStyle w:val="2"/>
        <w:spacing w:before="149" w:line="351" w:lineRule="auto"/>
        <w:ind w:firstLine="632"/>
        <w:rPr>
          <w:rFonts w:hint="eastAsia"/>
          <w:spacing w:val="8"/>
          <w:lang w:eastAsia="zh-CN"/>
        </w:rPr>
      </w:pPr>
    </w:p>
    <w:p w14:paraId="416EE158">
      <w:pPr>
        <w:pStyle w:val="2"/>
        <w:numPr>
          <w:numId w:val="0"/>
        </w:numPr>
        <w:spacing w:before="5" w:line="351" w:lineRule="auto"/>
        <w:ind w:leftChars="0" w:firstLine="312" w:firstLineChars="100"/>
        <w:jc w:val="both"/>
        <w:rPr>
          <w:rFonts w:hint="default" w:ascii="黑体" w:hAnsi="黑体" w:eastAsia="黑体" w:cs="黑体"/>
          <w:spacing w:val="4"/>
          <w:sz w:val="31"/>
          <w:szCs w:val="31"/>
          <w:lang w:val="en-US" w:eastAsia="zh-CN"/>
        </w:rPr>
        <w:sectPr>
          <w:footerReference r:id="rId10" w:type="default"/>
          <w:pgSz w:w="11906" w:h="16839"/>
          <w:pgMar w:top="1431" w:right="1384" w:bottom="1780" w:left="1521" w:header="0" w:footer="1506" w:gutter="0"/>
          <w:cols w:space="720" w:num="1"/>
        </w:sectPr>
      </w:pPr>
      <w:r>
        <w:rPr>
          <w:rFonts w:hint="eastAsia"/>
          <w:spacing w:val="1"/>
          <w:lang w:val="en-US" w:eastAsia="zh-CN"/>
        </w:rPr>
        <w:t xml:space="preserve">  </w:t>
      </w:r>
    </w:p>
    <w:p w14:paraId="10D9F402"/>
    <w:sectPr>
      <w:footerReference r:id="rId11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71949">
    <w:pPr>
      <w:pStyle w:val="2"/>
      <w:spacing w:line="174" w:lineRule="auto"/>
      <w:ind w:left="315"/>
      <w:rPr>
        <w:sz w:val="28"/>
        <w:szCs w:val="28"/>
      </w:rPr>
    </w:pPr>
    <w:r>
      <w:rPr>
        <w:spacing w:val="-3"/>
        <w:sz w:val="28"/>
        <w:szCs w:val="28"/>
      </w:rPr>
      <w:t>—</w:t>
    </w:r>
    <w:r>
      <w:rPr>
        <w:spacing w:val="16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 xml:space="preserve">8  </w:t>
    </w:r>
    <w:r>
      <w:rPr>
        <w:spacing w:val="-3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08BB8">
    <w:pPr>
      <w:pStyle w:val="2"/>
      <w:spacing w:line="174" w:lineRule="auto"/>
      <w:ind w:left="7552"/>
      <w:rPr>
        <w:sz w:val="28"/>
        <w:szCs w:val="28"/>
      </w:rPr>
    </w:pPr>
    <w:r>
      <w:rPr>
        <w:spacing w:val="-2"/>
        <w:sz w:val="28"/>
        <w:szCs w:val="28"/>
      </w:rPr>
      <w:t>—</w:t>
    </w:r>
    <w:r>
      <w:rPr>
        <w:spacing w:val="1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2"/>
        <w:sz w:val="28"/>
        <w:szCs w:val="28"/>
      </w:rPr>
      <w:t xml:space="preserve">9  </w:t>
    </w:r>
    <w:r>
      <w:rPr>
        <w:spacing w:val="-2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7CFB4">
    <w:pPr>
      <w:pStyle w:val="2"/>
      <w:spacing w:line="174" w:lineRule="auto"/>
      <w:ind w:left="7413"/>
      <w:rPr>
        <w:sz w:val="28"/>
        <w:szCs w:val="28"/>
      </w:rPr>
    </w:pPr>
    <w:r>
      <w:rPr>
        <w:spacing w:val="-6"/>
        <w:sz w:val="28"/>
        <w:szCs w:val="28"/>
      </w:rPr>
      <w:t>—</w:t>
    </w:r>
    <w:r>
      <w:rPr>
        <w:spacing w:val="35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11  </w:t>
    </w:r>
    <w:r>
      <w:rPr>
        <w:spacing w:val="-6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A7775">
    <w:pPr>
      <w:pStyle w:val="2"/>
      <w:spacing w:line="174" w:lineRule="auto"/>
      <w:ind w:left="328"/>
      <w:rPr>
        <w:sz w:val="28"/>
        <w:szCs w:val="28"/>
      </w:rPr>
    </w:pPr>
    <w:r>
      <w:rPr>
        <w:spacing w:val="-6"/>
        <w:sz w:val="28"/>
        <w:szCs w:val="28"/>
      </w:rPr>
      <w:t>—</w:t>
    </w:r>
    <w:r>
      <w:rPr>
        <w:spacing w:val="36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12  </w:t>
    </w:r>
    <w:r>
      <w:rPr>
        <w:spacing w:val="-6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C811D">
    <w:pPr>
      <w:pStyle w:val="2"/>
      <w:spacing w:line="174" w:lineRule="auto"/>
      <w:ind w:left="7390"/>
      <w:rPr>
        <w:sz w:val="28"/>
        <w:szCs w:val="28"/>
      </w:rPr>
    </w:pPr>
    <w:r>
      <w:rPr>
        <w:spacing w:val="-6"/>
        <w:sz w:val="28"/>
        <w:szCs w:val="28"/>
      </w:rPr>
      <w:t>—</w:t>
    </w:r>
    <w:r>
      <w:rPr>
        <w:spacing w:val="35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13  </w:t>
    </w:r>
    <w:r>
      <w:rPr>
        <w:spacing w:val="-6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E5430">
    <w:pPr>
      <w:pStyle w:val="2"/>
      <w:spacing w:line="174" w:lineRule="auto"/>
      <w:ind w:left="328"/>
      <w:rPr>
        <w:sz w:val="28"/>
        <w:szCs w:val="28"/>
      </w:rPr>
    </w:pPr>
    <w:r>
      <w:rPr>
        <w:spacing w:val="-6"/>
        <w:sz w:val="28"/>
        <w:szCs w:val="28"/>
      </w:rPr>
      <w:t>—</w:t>
    </w:r>
    <w:r>
      <w:rPr>
        <w:spacing w:val="36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14  </w:t>
    </w:r>
    <w:r>
      <w:rPr>
        <w:spacing w:val="-6"/>
        <w:sz w:val="28"/>
        <w:szCs w:val="28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ED508">
    <w:pPr>
      <w:pStyle w:val="2"/>
      <w:spacing w:line="174" w:lineRule="auto"/>
      <w:ind w:left="306"/>
      <w:rPr>
        <w:sz w:val="28"/>
        <w:szCs w:val="28"/>
      </w:rPr>
    </w:pPr>
    <w:r>
      <w:rPr>
        <w:spacing w:val="-6"/>
        <w:sz w:val="28"/>
        <w:szCs w:val="28"/>
      </w:rPr>
      <w:t>—</w:t>
    </w:r>
    <w:r>
      <w:rPr>
        <w:spacing w:val="36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16  </w:t>
    </w:r>
    <w:r>
      <w:rPr>
        <w:spacing w:val="-6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0B8EF8"/>
    <w:multiLevelType w:val="singleLevel"/>
    <w:tmpl w:val="3A0B8EF8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746224"/>
    <w:rsid w:val="66AA14AE"/>
    <w:rsid w:val="786A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2026-04-13T01:19:43Z</dcterms:created>
  <dc:creator>Administrator</dc:creator>
  <cp:lastModifiedBy>豆豆璁</cp:lastModifiedBy>
  <dcterms:modified xsi:type="dcterms:W3CDTF">2026-04-13T01:34:23Z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eyJoZGlkIjoiM2RlMGNjMTFkM2RmNWNhMjQ3ZmZlNDRmOTc0ODU4YzAiLCJ1c2VySWQiOiI5NjU5NTE5NTAifQ==</vt:lpwstr>
  </property>
  <property fmtid="{D5CDD505-2E9C-101B-9397-08002B2CF9AE}" pid="4" name="ICV">
    <vt:lpwstr>48A9124DE6DA40029EBDFF9DE5811214_12</vt:lpwstr>
  </property>
</Properties>
</file>