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00AE873">
      <w:pPr>
        <w:ind w:firstLine="480"/>
        <w:jc w:val="center"/>
        <w:rPr>
          <w:rFonts w:ascii="宋体" w:hAnsi="宋体"/>
          <w:szCs w:val="24"/>
        </w:rPr>
      </w:pPr>
      <w:bookmarkStart w:id="0" w:name="_Hlk478648734"/>
      <w:bookmarkEnd w:id="0"/>
      <w:r>
        <w:rPr>
          <w:sz w:val="21"/>
        </w:rPr>
        <w:drawing>
          <wp:anchor distT="0" distB="0" distL="114300" distR="114300" simplePos="0" relativeHeight="251659264" behindDoc="1" locked="0" layoutInCell="1" allowOverlap="1">
            <wp:simplePos x="0" y="0"/>
            <wp:positionH relativeFrom="column">
              <wp:posOffset>-1141730</wp:posOffset>
            </wp:positionH>
            <wp:positionV relativeFrom="paragraph">
              <wp:posOffset>-905510</wp:posOffset>
            </wp:positionV>
            <wp:extent cx="7581900" cy="1559560"/>
            <wp:effectExtent l="0" t="0" r="0" b="2540"/>
            <wp:wrapNone/>
            <wp:docPr id="43" name="图片 39" descr="D:\平面设计\2020.11.11\images\01_01.png0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descr="D:\平面设计\2020.11.11\images\01_01.png01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flipH="1">
                      <a:off x="0" y="0"/>
                      <a:ext cx="7581900" cy="1559560"/>
                    </a:xfrm>
                    <a:prstGeom prst="rect">
                      <a:avLst/>
                    </a:prstGeom>
                    <a:noFill/>
                    <a:ln>
                      <a:noFill/>
                    </a:ln>
                  </pic:spPr>
                </pic:pic>
              </a:graphicData>
            </a:graphic>
          </wp:anchor>
        </w:drawing>
      </w:r>
    </w:p>
    <w:p w14:paraId="74B80FB9">
      <w:pPr>
        <w:ind w:firstLine="480"/>
        <w:jc w:val="left"/>
        <w:rPr>
          <w:rFonts w:ascii="宋体" w:hAnsi="宋体"/>
          <w:szCs w:val="24"/>
        </w:rPr>
      </w:pPr>
    </w:p>
    <w:p w14:paraId="10DA226C">
      <w:pPr>
        <w:ind w:firstLine="480"/>
        <w:jc w:val="left"/>
        <w:rPr>
          <w:rFonts w:ascii="宋体" w:hAnsi="宋体"/>
          <w:szCs w:val="24"/>
        </w:rPr>
      </w:pPr>
    </w:p>
    <w:p w14:paraId="33ED82A7">
      <w:pPr>
        <w:jc w:val="left"/>
        <w:rPr>
          <w:rFonts w:ascii="宋体" w:hAnsi="宋体"/>
          <w:szCs w:val="24"/>
        </w:rPr>
      </w:pPr>
    </w:p>
    <w:p w14:paraId="2C95DAD0">
      <w:pPr>
        <w:jc w:val="left"/>
        <w:rPr>
          <w:rFonts w:ascii="宋体" w:hAnsi="宋体"/>
          <w:szCs w:val="24"/>
        </w:rPr>
      </w:pPr>
    </w:p>
    <w:p w14:paraId="725110B9">
      <w:pPr>
        <w:ind w:firstLine="480"/>
        <w:jc w:val="center"/>
        <w:rPr>
          <w:rFonts w:ascii="宋体" w:hAnsi="宋体"/>
          <w:szCs w:val="24"/>
        </w:rPr>
      </w:pPr>
    </w:p>
    <w:p w14:paraId="0917E7DD">
      <w:pPr>
        <w:ind w:firstLine="480"/>
        <w:jc w:val="center"/>
        <w:rPr>
          <w:rFonts w:ascii="宋体" w:hAnsi="宋体"/>
          <w:szCs w:val="24"/>
        </w:rPr>
      </w:pPr>
    </w:p>
    <w:p w14:paraId="4ECD054B">
      <w:pPr>
        <w:ind w:firstLine="480"/>
        <w:jc w:val="center"/>
        <w:rPr>
          <w:rFonts w:ascii="宋体" w:hAnsi="宋体"/>
          <w:szCs w:val="24"/>
        </w:rPr>
      </w:pPr>
      <w:r>
        <w:rPr>
          <w:rFonts w:ascii="宋体" w:hAnsi="宋体"/>
          <w:szCs w:val="24"/>
        </w:rPr>
        <w:drawing>
          <wp:inline distT="0" distB="0" distL="0" distR="0">
            <wp:extent cx="1999615" cy="532130"/>
            <wp:effectExtent l="0" t="0" r="12065" b="1270"/>
            <wp:docPr id="41" name="图片 1" descr="281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2816-7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99615" cy="532130"/>
                    </a:xfrm>
                    <a:prstGeom prst="rect">
                      <a:avLst/>
                    </a:prstGeom>
                    <a:noFill/>
                    <a:ln>
                      <a:noFill/>
                    </a:ln>
                  </pic:spPr>
                </pic:pic>
              </a:graphicData>
            </a:graphic>
          </wp:inline>
        </w:drawing>
      </w:r>
    </w:p>
    <w:p w14:paraId="605572D4">
      <w:pPr>
        <w:ind w:firstLine="480"/>
        <w:jc w:val="center"/>
        <w:rPr>
          <w:rFonts w:ascii="宋体" w:hAnsi="宋体"/>
          <w:szCs w:val="24"/>
        </w:rPr>
      </w:pPr>
    </w:p>
    <w:p w14:paraId="5A6AB781">
      <w:pPr>
        <w:ind w:firstLine="480"/>
        <w:jc w:val="center"/>
        <w:rPr>
          <w:rFonts w:ascii="宋体" w:hAnsi="宋体"/>
          <w:szCs w:val="24"/>
        </w:rPr>
      </w:pPr>
    </w:p>
    <w:p w14:paraId="1D5C45D8">
      <w:pPr>
        <w:rPr>
          <w:rStyle w:val="26"/>
          <w:rFonts w:ascii="宋体" w:hAnsi="宋体"/>
          <w:sz w:val="24"/>
          <w:szCs w:val="24"/>
        </w:rPr>
      </w:pPr>
      <w:r>
        <w:rPr>
          <w:sz w:val="21"/>
        </w:rPr>
        <mc:AlternateContent>
          <mc:Choice Requires="wps">
            <w:drawing>
              <wp:anchor distT="0" distB="0" distL="114300" distR="114300" simplePos="0" relativeHeight="251661312" behindDoc="0" locked="0" layoutInCell="1" allowOverlap="1">
                <wp:simplePos x="0" y="0"/>
                <wp:positionH relativeFrom="column">
                  <wp:posOffset>1127760</wp:posOffset>
                </wp:positionH>
                <wp:positionV relativeFrom="paragraph">
                  <wp:posOffset>3719830</wp:posOffset>
                </wp:positionV>
                <wp:extent cx="3225800" cy="409575"/>
                <wp:effectExtent l="0" t="0" r="0" b="0"/>
                <wp:wrapNone/>
                <wp:docPr id="523" name="文本框 87"/>
                <wp:cNvGraphicFramePr/>
                <a:graphic xmlns:a="http://schemas.openxmlformats.org/drawingml/2006/main">
                  <a:graphicData uri="http://schemas.microsoft.com/office/word/2010/wordprocessingShape">
                    <wps:wsp>
                      <wps:cNvSpPr txBox="1"/>
                      <wps:spPr>
                        <a:xfrm>
                          <a:off x="0" y="0"/>
                          <a:ext cx="3225800" cy="409575"/>
                        </a:xfrm>
                        <a:prstGeom prst="rect">
                          <a:avLst/>
                        </a:prstGeom>
                        <a:noFill/>
                        <a:ln w="6350">
                          <a:noFill/>
                        </a:ln>
                        <a:effectLst/>
                      </wps:spPr>
                      <wps:txbx>
                        <w:txbxContent>
                          <w:p w14:paraId="12B9291A">
                            <w:pPr>
                              <w:jc w:val="center"/>
                              <w:rPr>
                                <w:rFonts w:ascii="华文中宋" w:hAnsi="华文中宋" w:eastAsia="华文中宋" w:cs="华文中宋"/>
                                <w:b/>
                                <w:bCs/>
                                <w:color w:val="404040" w:themeColor="text1" w:themeTint="BF"/>
                                <w:sz w:val="36"/>
                                <w:szCs w:val="36"/>
                                <w:shd w:val="clear" w:color="auto" w:fill="FFFFFF"/>
                                <w14:textFill>
                                  <w14:solidFill>
                                    <w14:schemeClr w14:val="tx1">
                                      <w14:lumMod w14:val="75000"/>
                                      <w14:lumOff w14:val="25000"/>
                                    </w14:schemeClr>
                                  </w14:solidFill>
                                </w14:textFill>
                              </w:rPr>
                            </w:pPr>
                            <w:r>
                              <w:rPr>
                                <w:rFonts w:hint="eastAsia" w:ascii="华文中宋" w:hAnsi="华文中宋" w:eastAsia="华文中宋" w:cs="华文中宋"/>
                                <w:b/>
                                <w:bCs/>
                                <w:color w:val="404040" w:themeColor="text1" w:themeTint="BF"/>
                                <w:sz w:val="36"/>
                                <w:szCs w:val="36"/>
                                <w:shd w:val="clear" w:color="auto" w:fill="FFFFFF"/>
                                <w14:textFill>
                                  <w14:solidFill>
                                    <w14:schemeClr w14:val="tx1">
                                      <w14:lumMod w14:val="75000"/>
                                      <w14:lumOff w14:val="25000"/>
                                    </w14:schemeClr>
                                  </w14:solidFill>
                                </w14:textFill>
                              </w:rPr>
                              <w:t>北京万方数据股份有限公司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88.8pt;margin-top:292.9pt;height:32.25pt;width:254pt;z-index:251661312;mso-width-relative:page;mso-height-relative:page;" filled="f" stroked="f" coordsize="21600,21600" o:gfxdata="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YdJpfbAAAACwEAAA8AAAAAAAAAAQAg&#10;AAAAIgAAAGRycy9kb3ducmV2LnhtbFBLAQIUABQAAAAIAIdO4kA8DORPRAIAAHcEAAAOAAAAAAAA&#10;AAEAIAAAACoBAABkcnMvZTJvRG9jLnhtbFBLBQYAAAAABgAGAFkBAADgBQAAAAA=&#10;">
                <v:fill on="f" focussize="0,0"/>
                <v:stroke on="f" weight="0.5pt"/>
                <v:imagedata o:title=""/>
                <o:lock v:ext="edit" aspectratio="f"/>
                <v:textbox>
                  <w:txbxContent>
                    <w:p w14:paraId="12B9291A">
                      <w:pPr>
                        <w:jc w:val="center"/>
                        <w:rPr>
                          <w:rFonts w:ascii="华文中宋" w:hAnsi="华文中宋" w:eastAsia="华文中宋" w:cs="华文中宋"/>
                          <w:b/>
                          <w:bCs/>
                          <w:color w:val="404040" w:themeColor="text1" w:themeTint="BF"/>
                          <w:sz w:val="36"/>
                          <w:szCs w:val="36"/>
                          <w:shd w:val="clear" w:color="auto" w:fill="FFFFFF"/>
                          <w14:textFill>
                            <w14:solidFill>
                              <w14:schemeClr w14:val="tx1">
                                <w14:lumMod w14:val="75000"/>
                                <w14:lumOff w14:val="25000"/>
                              </w14:schemeClr>
                            </w14:solidFill>
                          </w14:textFill>
                        </w:rPr>
                      </w:pPr>
                      <w:r>
                        <w:rPr>
                          <w:rFonts w:hint="eastAsia" w:ascii="华文中宋" w:hAnsi="华文中宋" w:eastAsia="华文中宋" w:cs="华文中宋"/>
                          <w:b/>
                          <w:bCs/>
                          <w:color w:val="404040" w:themeColor="text1" w:themeTint="BF"/>
                          <w:sz w:val="36"/>
                          <w:szCs w:val="36"/>
                          <w:shd w:val="clear" w:color="auto" w:fill="FFFFFF"/>
                          <w14:textFill>
                            <w14:solidFill>
                              <w14:schemeClr w14:val="tx1">
                                <w14:lumMod w14:val="75000"/>
                                <w14:lumOff w14:val="25000"/>
                              </w14:schemeClr>
                            </w14:solidFill>
                          </w14:textFill>
                        </w:rPr>
                        <w:t>北京万方数据股份有限公司</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1102360</wp:posOffset>
                </wp:positionH>
                <wp:positionV relativeFrom="paragraph">
                  <wp:posOffset>4284345</wp:posOffset>
                </wp:positionV>
                <wp:extent cx="3225800" cy="409575"/>
                <wp:effectExtent l="0" t="0" r="0" b="0"/>
                <wp:wrapNone/>
                <wp:docPr id="535" name="文本框 87"/>
                <wp:cNvGraphicFramePr/>
                <a:graphic xmlns:a="http://schemas.openxmlformats.org/drawingml/2006/main">
                  <a:graphicData uri="http://schemas.microsoft.com/office/word/2010/wordprocessingShape">
                    <wps:wsp>
                      <wps:cNvSpPr txBox="1"/>
                      <wps:spPr>
                        <a:xfrm>
                          <a:off x="0" y="0"/>
                          <a:ext cx="3225800" cy="409575"/>
                        </a:xfrm>
                        <a:prstGeom prst="rect">
                          <a:avLst/>
                        </a:prstGeom>
                        <a:noFill/>
                        <a:ln w="6350">
                          <a:noFill/>
                        </a:ln>
                        <a:effectLst/>
                      </wps:spPr>
                      <wps:txbx>
                        <w:txbxContent>
                          <w:p w14:paraId="70FE83AF">
                            <w:pPr>
                              <w:jc w:val="center"/>
                              <w:rPr>
                                <w:rFonts w:hint="eastAsia" w:ascii="华文中宋" w:hAnsi="华文中宋" w:eastAsia="华文中宋" w:cs="华文中宋"/>
                                <w:color w:val="808080" w:themeColor="text1" w:themeTint="80"/>
                                <w:sz w:val="28"/>
                                <w:szCs w:val="28"/>
                                <w:shd w:val="clear" w:color="auto" w:fill="FFFFFF"/>
                                <w:lang w:val="en-US" w:eastAsia="zh-CN"/>
                                <w14:textFill>
                                  <w14:solidFill>
                                    <w14:schemeClr w14:val="tx1">
                                      <w14:lumMod w14:val="50000"/>
                                      <w14:lumOff w14:val="50000"/>
                                    </w14:schemeClr>
                                  </w14:solidFill>
                                </w14:textFill>
                              </w:rPr>
                            </w:pPr>
                            <w:r>
                              <w:rPr>
                                <w:rFonts w:hint="eastAsia" w:ascii="华文中宋" w:hAnsi="华文中宋" w:eastAsia="华文中宋" w:cs="华文中宋"/>
                                <w:color w:val="808080" w:themeColor="text1" w:themeTint="80"/>
                                <w:sz w:val="28"/>
                                <w:szCs w:val="28"/>
                                <w:shd w:val="clear" w:color="auto" w:fill="FFFFFF"/>
                                <w14:textFill>
                                  <w14:solidFill>
                                    <w14:schemeClr w14:val="tx1">
                                      <w14:lumMod w14:val="50000"/>
                                      <w14:lumOff w14:val="50000"/>
                                    </w14:schemeClr>
                                  </w14:solidFill>
                                </w14:textFill>
                              </w:rPr>
                              <w:t>科研诚信服务</w:t>
                            </w:r>
                            <w:r>
                              <w:rPr>
                                <w:rFonts w:hint="eastAsia" w:ascii="华文中宋" w:hAnsi="华文中宋" w:eastAsia="华文中宋" w:cs="华文中宋"/>
                                <w:color w:val="808080" w:themeColor="text1" w:themeTint="80"/>
                                <w:sz w:val="28"/>
                                <w:szCs w:val="28"/>
                                <w:shd w:val="clear" w:color="auto" w:fill="FFFFFF"/>
                                <w:lang w:val="en-US" w:eastAsia="zh-CN"/>
                                <w14:textFill>
                                  <w14:solidFill>
                                    <w14:schemeClr w14:val="tx1">
                                      <w14:lumMod w14:val="50000"/>
                                      <w14:lumOff w14:val="50000"/>
                                    </w14:schemeClr>
                                  </w14:solidFill>
                                </w14:textFill>
                              </w:rPr>
                              <w:t>事业部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86.8pt;margin-top:337.35pt;height:32.25pt;width:254pt;z-index:251662336;mso-width-relative:page;mso-height-relative:page;" filled="f" stroked="f" coordsize="21600,21600" o:gfxdata="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msiMU2wAAAAsBAAAPAAAAAAAAAAEA&#10;IAAAACIAAABkcnMvZG93bnJldi54bWxQSwECFAAUAAAACACHTuJAndnqXEUCAAB3BAAADgAAAAAA&#10;AAABACAAAAAqAQAAZHJzL2Uyb0RvYy54bWxQSwUGAAAAAAYABgBZAQAA4QUAAAAA&#10;">
                <v:fill on="f" focussize="0,0"/>
                <v:stroke on="f" weight="0.5pt"/>
                <v:imagedata o:title=""/>
                <o:lock v:ext="edit" aspectratio="f"/>
                <v:textbox>
                  <w:txbxContent>
                    <w:p w14:paraId="70FE83AF">
                      <w:pPr>
                        <w:jc w:val="center"/>
                        <w:rPr>
                          <w:rFonts w:hint="eastAsia" w:ascii="华文中宋" w:hAnsi="华文中宋" w:eastAsia="华文中宋" w:cs="华文中宋"/>
                          <w:color w:val="808080" w:themeColor="text1" w:themeTint="80"/>
                          <w:sz w:val="28"/>
                          <w:szCs w:val="28"/>
                          <w:shd w:val="clear" w:color="auto" w:fill="FFFFFF"/>
                          <w:lang w:val="en-US" w:eastAsia="zh-CN"/>
                          <w14:textFill>
                            <w14:solidFill>
                              <w14:schemeClr w14:val="tx1">
                                <w14:lumMod w14:val="50000"/>
                                <w14:lumOff w14:val="50000"/>
                              </w14:schemeClr>
                            </w14:solidFill>
                          </w14:textFill>
                        </w:rPr>
                      </w:pPr>
                      <w:r>
                        <w:rPr>
                          <w:rFonts w:hint="eastAsia" w:ascii="华文中宋" w:hAnsi="华文中宋" w:eastAsia="华文中宋" w:cs="华文中宋"/>
                          <w:color w:val="808080" w:themeColor="text1" w:themeTint="80"/>
                          <w:sz w:val="28"/>
                          <w:szCs w:val="28"/>
                          <w:shd w:val="clear" w:color="auto" w:fill="FFFFFF"/>
                          <w14:textFill>
                            <w14:solidFill>
                              <w14:schemeClr w14:val="tx1">
                                <w14:lumMod w14:val="50000"/>
                                <w14:lumOff w14:val="50000"/>
                              </w14:schemeClr>
                            </w14:solidFill>
                          </w14:textFill>
                        </w:rPr>
                        <w:t>科研诚信服务</w:t>
                      </w:r>
                      <w:r>
                        <w:rPr>
                          <w:rFonts w:hint="eastAsia" w:ascii="华文中宋" w:hAnsi="华文中宋" w:eastAsia="华文中宋" w:cs="华文中宋"/>
                          <w:color w:val="808080" w:themeColor="text1" w:themeTint="80"/>
                          <w:sz w:val="28"/>
                          <w:szCs w:val="28"/>
                          <w:shd w:val="clear" w:color="auto" w:fill="FFFFFF"/>
                          <w:lang w:val="en-US" w:eastAsia="zh-CN"/>
                          <w14:textFill>
                            <w14:solidFill>
                              <w14:schemeClr w14:val="tx1">
                                <w14:lumMod w14:val="50000"/>
                                <w14:lumOff w14:val="50000"/>
                              </w14:schemeClr>
                            </w14:solidFill>
                          </w14:textFill>
                        </w:rPr>
                        <w:t>事业部</w:t>
                      </w:r>
                    </w:p>
                  </w:txbxContent>
                </v:textbox>
              </v:shape>
            </w:pict>
          </mc:Fallback>
        </mc:AlternateContent>
      </w:r>
      <w:r>
        <w:rPr>
          <w:sz w:val="21"/>
        </w:rPr>
        <w:drawing>
          <wp:anchor distT="0" distB="0" distL="114300" distR="114300" simplePos="0" relativeHeight="251663360" behindDoc="1" locked="0" layoutInCell="1" allowOverlap="1">
            <wp:simplePos x="0" y="0"/>
            <wp:positionH relativeFrom="column">
              <wp:posOffset>-1148715</wp:posOffset>
            </wp:positionH>
            <wp:positionV relativeFrom="paragraph">
              <wp:posOffset>3706495</wp:posOffset>
            </wp:positionV>
            <wp:extent cx="7580630" cy="2552700"/>
            <wp:effectExtent l="0" t="0" r="1270" b="0"/>
            <wp:wrapNone/>
            <wp:docPr id="42" name="图片 40" descr="D:\平面设计\2020.11.11\images\01_03.png0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descr="D:\平面设计\2020.11.11\images\01_03.png01_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580630" cy="2552700"/>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131445</wp:posOffset>
                </wp:positionH>
                <wp:positionV relativeFrom="paragraph">
                  <wp:posOffset>269875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A15B9">
                            <w:pPr>
                              <w:jc w:val="center"/>
                              <w:rPr>
                                <w:rFonts w:ascii="微软雅黑" w:hAnsi="微软雅黑" w:eastAsia="微软雅黑" w:cs="微软雅黑"/>
                                <w:b/>
                                <w:bCs/>
                                <w:sz w:val="96"/>
                                <w:szCs w:val="96"/>
                                <w14:reflection w14:blurRad="6350" w14:stA="53000" w14:stPos="0" w14:endA="300" w14:endPos="35500" w14:dist="0" w14:dir="5400000" w14:fadeDir="5400000" w14:sx="100000" w14:sy="-90000" w14:kx="0" w14:ky="0" w14:algn="bl"/>
                                <w14:textFill>
                                  <w14:gradFill>
                                    <w14:gsLst>
                                      <w14:gs w14:pos="0">
                                        <w14:srgbClr w14:val="007BD3"/>
                                      </w14:gs>
                                      <w14:gs w14:pos="100000">
                                        <w14:srgbClr w14:val="034373"/>
                                      </w14:gs>
                                    </w14:gsLst>
                                    <w14:lin w14:ang="0" w14:scaled="0"/>
                                  </w14:gradFill>
                                </w14:textFill>
                              </w:rPr>
                            </w:pPr>
                            <w:r>
                              <w:rPr>
                                <w:rFonts w:hint="eastAsia" w:ascii="微软雅黑" w:hAnsi="微软雅黑" w:eastAsia="微软雅黑" w:cs="微软雅黑"/>
                                <w:b/>
                                <w:bCs/>
                                <w:sz w:val="96"/>
                                <w:szCs w:val="96"/>
                                <w14:reflection w14:blurRad="6350" w14:stA="53000" w14:stPos="0" w14:endA="300" w14:endPos="35500" w14:dist="0" w14:dir="5400000" w14:fadeDir="5400000" w14:sx="100000" w14:sy="-90000" w14:kx="0" w14:ky="0" w14:algn="bl"/>
                                <w14:textFill>
                                  <w14:gradFill>
                                    <w14:gsLst>
                                      <w14:gs w14:pos="0">
                                        <w14:srgbClr w14:val="007BD3"/>
                                      </w14:gs>
                                      <w14:gs w14:pos="100000">
                                        <w14:srgbClr w14:val="034373"/>
                                      </w14:gs>
                                    </w14:gsLst>
                                    <w14:lin w14:ang="0" w14:scaled="0"/>
                                  </w14:gradFill>
                                </w14:textFill>
                              </w:rPr>
                              <w:t>科研诚信培训系统</w:t>
                            </w:r>
                          </w:p>
                          <w:p w14:paraId="0C2546EB">
                            <w:pPr>
                              <w:jc w:val="center"/>
                              <w:rPr>
                                <w:rFonts w:ascii="微软雅黑" w:hAnsi="微软雅黑" w:eastAsia="微软雅黑" w:cs="微软雅黑"/>
                                <w:b/>
                                <w:bCs/>
                                <w:sz w:val="96"/>
                                <w:szCs w:val="96"/>
                                <w14:reflection w14:blurRad="6350" w14:stA="53000" w14:stPos="0" w14:endA="300" w14:endPos="35500" w14:dist="0" w14:dir="5400000" w14:fadeDir="5400000" w14:sx="100000" w14:sy="-90000" w14:kx="0" w14:ky="0" w14:algn="bl"/>
                                <w14:textFill>
                                  <w14:gradFill>
                                    <w14:gsLst>
                                      <w14:gs w14:pos="0">
                                        <w14:srgbClr w14:val="007BD3"/>
                                      </w14:gs>
                                      <w14:gs w14:pos="100000">
                                        <w14:srgbClr w14:val="034373"/>
                                      </w14:gs>
                                    </w14:gsLst>
                                    <w14:lin w14:ang="0" w14:scaled="0"/>
                                  </w14:gradFill>
                                </w14:textFill>
                              </w:rPr>
                            </w:pPr>
                            <w:r>
                              <w:rPr>
                                <w:rFonts w:hint="eastAsia" w:ascii="微软雅黑" w:hAnsi="微软雅黑" w:eastAsia="微软雅黑" w:cs="微软雅黑"/>
                                <w:b/>
                                <w:bCs/>
                                <w:sz w:val="72"/>
                                <w:szCs w:val="72"/>
                                <w14:reflection w14:blurRad="6350" w14:stA="53000" w14:stPos="0" w14:endA="300" w14:endPos="35500" w14:dist="0" w14:dir="5400000" w14:fadeDir="5400000" w14:sx="100000" w14:sy="-90000" w14:kx="0" w14:ky="0" w14:algn="bl"/>
                                <w14:textFill>
                                  <w14:gradFill>
                                    <w14:gsLst>
                                      <w14:gs w14:pos="0">
                                        <w14:srgbClr w14:val="007BD3"/>
                                      </w14:gs>
                                      <w14:gs w14:pos="100000">
                                        <w14:srgbClr w14:val="034373"/>
                                      </w14:gs>
                                    </w14:gsLst>
                                    <w14:lin w14:ang="0" w14:scaled="0"/>
                                  </w14:gradFill>
                                </w14:textFill>
                              </w:rPr>
                              <w:t>使用说明-学习端</w:t>
                            </w:r>
                          </w:p>
                        </w:txbxContent>
                      </wps:txbx>
                      <wps:bodyPr wrap="none" anchor="t">
                        <a:spAutoFit/>
                      </wps:bodyPr>
                    </wps:wsp>
                  </a:graphicData>
                </a:graphic>
              </wp:anchor>
            </w:drawing>
          </mc:Choice>
          <mc:Fallback>
            <w:pict>
              <v:shape id="_x0000_s1026" o:spid="_x0000_s1026" o:spt="202" type="#_x0000_t202" style="position:absolute;left:0pt;margin-left:10.35pt;margin-top:21.25pt;height:144pt;width:144pt;mso-wrap-style:none;z-index:251660288;mso-width-relative:page;mso-height-relative:page;" filled="f" stroked="f" coordsize="21600,21600" o:gfxdata="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sNCvi2AAAAAkBAAAPAAAAAAAAAAEAIAAAACIAAABkcnMvZG93bnJldi54&#10;bWxQSwECFAAUAAAACACHTuJAIuAxNcEBAAB9AwAADgAAAAAAAAABACAAAAAnAQAAZHJzL2Uyb0Rv&#10;Yy54bWxQSwUGAAAAAAYABgBZAQAAWgUAAAAA&#10;">
                <v:fill on="f" focussize="0,0"/>
                <v:stroke on="f" weight="0.5pt"/>
                <v:imagedata o:title=""/>
                <o:lock v:ext="edit" aspectratio="f"/>
                <v:textbox style="mso-fit-shape-to-text:t;">
                  <w:txbxContent>
                    <w:p w14:paraId="5BFA15B9">
                      <w:pPr>
                        <w:jc w:val="center"/>
                        <w:rPr>
                          <w:rFonts w:ascii="微软雅黑" w:hAnsi="微软雅黑" w:eastAsia="微软雅黑" w:cs="微软雅黑"/>
                          <w:b/>
                          <w:bCs/>
                          <w:sz w:val="96"/>
                          <w:szCs w:val="96"/>
                          <w14:reflection w14:blurRad="6350" w14:stA="53000" w14:stPos="0" w14:endA="300" w14:endPos="35500" w14:dist="0" w14:dir="5400000" w14:fadeDir="5400000" w14:sx="100000" w14:sy="-90000" w14:kx="0" w14:ky="0" w14:algn="bl"/>
                          <w14:textFill>
                            <w14:gradFill>
                              <w14:gsLst>
                                <w14:gs w14:pos="0">
                                  <w14:srgbClr w14:val="007BD3"/>
                                </w14:gs>
                                <w14:gs w14:pos="100000">
                                  <w14:srgbClr w14:val="034373"/>
                                </w14:gs>
                              </w14:gsLst>
                              <w14:lin w14:ang="0" w14:scaled="0"/>
                            </w14:gradFill>
                          </w14:textFill>
                        </w:rPr>
                      </w:pPr>
                      <w:r>
                        <w:rPr>
                          <w:rFonts w:hint="eastAsia" w:ascii="微软雅黑" w:hAnsi="微软雅黑" w:eastAsia="微软雅黑" w:cs="微软雅黑"/>
                          <w:b/>
                          <w:bCs/>
                          <w:sz w:val="96"/>
                          <w:szCs w:val="96"/>
                          <w14:reflection w14:blurRad="6350" w14:stA="53000" w14:stPos="0" w14:endA="300" w14:endPos="35500" w14:dist="0" w14:dir="5400000" w14:fadeDir="5400000" w14:sx="100000" w14:sy="-90000" w14:kx="0" w14:ky="0" w14:algn="bl"/>
                          <w14:textFill>
                            <w14:gradFill>
                              <w14:gsLst>
                                <w14:gs w14:pos="0">
                                  <w14:srgbClr w14:val="007BD3"/>
                                </w14:gs>
                                <w14:gs w14:pos="100000">
                                  <w14:srgbClr w14:val="034373"/>
                                </w14:gs>
                              </w14:gsLst>
                              <w14:lin w14:ang="0" w14:scaled="0"/>
                            </w14:gradFill>
                          </w14:textFill>
                        </w:rPr>
                        <w:t>科研诚信培训系统</w:t>
                      </w:r>
                    </w:p>
                    <w:p w14:paraId="0C2546EB">
                      <w:pPr>
                        <w:jc w:val="center"/>
                        <w:rPr>
                          <w:rFonts w:ascii="微软雅黑" w:hAnsi="微软雅黑" w:eastAsia="微软雅黑" w:cs="微软雅黑"/>
                          <w:b/>
                          <w:bCs/>
                          <w:sz w:val="96"/>
                          <w:szCs w:val="96"/>
                          <w14:reflection w14:blurRad="6350" w14:stA="53000" w14:stPos="0" w14:endA="300" w14:endPos="35500" w14:dist="0" w14:dir="5400000" w14:fadeDir="5400000" w14:sx="100000" w14:sy="-90000" w14:kx="0" w14:ky="0" w14:algn="bl"/>
                          <w14:textFill>
                            <w14:gradFill>
                              <w14:gsLst>
                                <w14:gs w14:pos="0">
                                  <w14:srgbClr w14:val="007BD3"/>
                                </w14:gs>
                                <w14:gs w14:pos="100000">
                                  <w14:srgbClr w14:val="034373"/>
                                </w14:gs>
                              </w14:gsLst>
                              <w14:lin w14:ang="0" w14:scaled="0"/>
                            </w14:gradFill>
                          </w14:textFill>
                        </w:rPr>
                      </w:pPr>
                      <w:r>
                        <w:rPr>
                          <w:rFonts w:hint="eastAsia" w:ascii="微软雅黑" w:hAnsi="微软雅黑" w:eastAsia="微软雅黑" w:cs="微软雅黑"/>
                          <w:b/>
                          <w:bCs/>
                          <w:sz w:val="72"/>
                          <w:szCs w:val="72"/>
                          <w14:reflection w14:blurRad="6350" w14:stA="53000" w14:stPos="0" w14:endA="300" w14:endPos="35500" w14:dist="0" w14:dir="5400000" w14:fadeDir="5400000" w14:sx="100000" w14:sy="-90000" w14:kx="0" w14:ky="0" w14:algn="bl"/>
                          <w14:textFill>
                            <w14:gradFill>
                              <w14:gsLst>
                                <w14:gs w14:pos="0">
                                  <w14:srgbClr w14:val="007BD3"/>
                                </w14:gs>
                                <w14:gs w14:pos="100000">
                                  <w14:srgbClr w14:val="034373"/>
                                </w14:gs>
                              </w14:gsLst>
                              <w14:lin w14:ang="0" w14:scaled="0"/>
                            </w14:gradFill>
                          </w14:textFill>
                        </w:rPr>
                        <w:t>使用说明-学习端</w:t>
                      </w:r>
                    </w:p>
                  </w:txbxContent>
                </v:textbox>
              </v:shape>
            </w:pict>
          </mc:Fallback>
        </mc:AlternateContent>
      </w:r>
      <w:r>
        <w:rPr>
          <w:rFonts w:ascii="宋体" w:hAnsi="宋体"/>
          <w:szCs w:val="24"/>
        </w:rPr>
        <w:br w:type="page"/>
      </w:r>
    </w:p>
    <w:p w14:paraId="537FBC3D">
      <w:pPr>
        <w:pStyle w:val="2"/>
        <w:numPr>
          <w:ilvl w:val="0"/>
          <w:numId w:val="2"/>
        </w:numPr>
      </w:pPr>
      <w:r>
        <w:rPr>
          <w:rFonts w:hint="eastAsia"/>
        </w:rPr>
        <w:t>产品概况</w:t>
      </w:r>
    </w:p>
    <w:p w14:paraId="00E2A49C">
      <w:pPr>
        <w:pStyle w:val="3"/>
        <w:numPr>
          <w:ilvl w:val="1"/>
          <w:numId w:val="3"/>
        </w:numPr>
      </w:pPr>
      <w:r>
        <w:t>产品</w:t>
      </w:r>
      <w:r>
        <w:rPr>
          <w:rFonts w:hint="eastAsia"/>
        </w:rPr>
        <w:t>背景</w:t>
      </w:r>
      <w:r>
        <w:t>介绍</w:t>
      </w:r>
    </w:p>
    <w:p w14:paraId="2C3D5A1C">
      <w:pPr>
        <w:numPr>
          <w:ilvl w:val="0"/>
          <w:numId w:val="4"/>
        </w:numPr>
        <w:rPr>
          <w:rFonts w:hint="eastAsia"/>
        </w:rPr>
      </w:pPr>
      <w:r>
        <w:rPr>
          <w:rFonts w:hint="eastAsia"/>
        </w:rPr>
        <w:t>科研不端事件频发，极大破坏我国科研环境与国际形象</w:t>
      </w:r>
    </w:p>
    <w:p w14:paraId="75E599A8">
      <w:pPr>
        <w:ind w:firstLine="480" w:firstLineChars="200"/>
        <w:rPr>
          <w:rFonts w:hint="eastAsia"/>
        </w:rPr>
      </w:pPr>
      <w:r>
        <w:rPr>
          <w:rFonts w:hint="eastAsia"/>
        </w:rPr>
        <w:t>近年来，我国学术论文的集体下撤、科研项目撤销，违反科研诚信与学术伦理事件频发，特别是群体性的下撤事件，在国际造成恶劣的影响，对我国科研形象与环境带来极大破坏，给科研单位与主管部门造成很大压力，同时也在一定程度上起到阻碍、延缓我国创新发展。</w:t>
      </w:r>
    </w:p>
    <w:p w14:paraId="4D8DE575">
      <w:pPr>
        <w:numPr>
          <w:ilvl w:val="0"/>
          <w:numId w:val="4"/>
        </w:numPr>
      </w:pPr>
      <w:r>
        <w:rPr>
          <w:rFonts w:hint="eastAsia"/>
        </w:rPr>
        <w:t>国家高度重视科研诚信建设，出台了一系列政策意见</w:t>
      </w:r>
    </w:p>
    <w:p w14:paraId="4EE7CC8E">
      <w:pPr>
        <w:ind w:firstLine="480" w:firstLineChars="200"/>
      </w:pPr>
      <w:r>
        <w:rPr>
          <w:rFonts w:hint="eastAsia"/>
        </w:rPr>
        <w:t>自2000年以来，中央各部委先后出台了约100项科研诚信与学术规范相关政策意见、法律法规及管理办法，特别是2018年5月30日中办、国办发布诚信建设的若干意见以来，科技部、教育部、社科院等国家主管部委纷纷出台各项政策文件与具体管理措施。体现了中央高度重视科研诚信与学术道德建设，科研诚信被提到了一个新的历史高度。</w:t>
      </w:r>
    </w:p>
    <w:p w14:paraId="67015FAA">
      <w:pPr>
        <w:numPr>
          <w:ilvl w:val="0"/>
          <w:numId w:val="4"/>
        </w:numPr>
        <w:rPr>
          <w:rFonts w:hint="eastAsia"/>
        </w:rPr>
      </w:pPr>
      <w:r>
        <w:rPr>
          <w:rFonts w:hint="eastAsia"/>
        </w:rPr>
        <w:t>各部委</w:t>
      </w:r>
      <w:r>
        <w:t>/</w:t>
      </w:r>
      <w:r>
        <w:rPr>
          <w:rFonts w:hint="eastAsia"/>
        </w:rPr>
        <w:t>地方主管部门均制定了具体意见与管理办法</w:t>
      </w:r>
    </w:p>
    <w:p w14:paraId="6FD91941">
      <w:pPr>
        <w:ind w:firstLine="480" w:firstLineChars="200"/>
      </w:pPr>
      <w:r>
        <w:rPr>
          <w:rFonts w:hint="eastAsia"/>
        </w:rPr>
        <w:t>各地主管部门高度重视。据不完全统计，截止到2019年底，全国31省市自治区均出台了科研诚信相关政策，加强科研诚信建设实施意见，加强学风道德与学术规范意识，制定了科技项目、科研伦理等相关诚信要求及针对不断行为处理的有关规定。主要由政府办公厅、科技、教育等部门或多部门发文。形成了从中央、各部委到地方的逐级落实、分级管理、联合治理的科研诚信建设与不端行为治理的政策环境。</w:t>
      </w:r>
    </w:p>
    <w:p w14:paraId="3F0F94E5">
      <w:pPr>
        <w:numPr>
          <w:ilvl w:val="0"/>
          <w:numId w:val="4"/>
        </w:numPr>
      </w:pPr>
      <w:r>
        <w:rPr>
          <w:rFonts w:hint="eastAsia"/>
        </w:rPr>
        <w:t>我国科研诚信教育较为薄弱</w:t>
      </w:r>
    </w:p>
    <w:p w14:paraId="683948F0">
      <w:pPr>
        <w:ind w:firstLine="480" w:firstLineChars="200"/>
      </w:pPr>
      <w:r>
        <w:rPr>
          <w:rFonts w:hint="eastAsia"/>
        </w:rPr>
        <w:t>科研诚信教育是遏制学术不端行为的重要手段，也是加强科研诚信建设的治本之策。然而当前我国高校，诚信教育呈现出课程少、教材少、师资缺、普及低的现状特点，</w:t>
      </w:r>
      <w:r>
        <w:rPr>
          <w:rFonts w:hint="eastAsia"/>
          <w:lang w:val="en-US" w:eastAsia="zh-CN"/>
        </w:rPr>
        <w:t>一般科研机构、医疗卫生机构在科研诚信、科技伦理方面的普适性培训亦比较稀缺</w:t>
      </w:r>
      <w:r>
        <w:rPr>
          <w:rFonts w:hint="eastAsia"/>
        </w:rPr>
        <w:t>。</w:t>
      </w:r>
    </w:p>
    <w:p w14:paraId="49354E40">
      <w:pPr>
        <w:pStyle w:val="3"/>
        <w:numPr>
          <w:ilvl w:val="1"/>
          <w:numId w:val="3"/>
        </w:numPr>
      </w:pPr>
      <w:r>
        <w:rPr>
          <w:rFonts w:hint="eastAsia"/>
        </w:rPr>
        <w:t>产品简介</w:t>
      </w:r>
    </w:p>
    <w:p w14:paraId="67C71AE3">
      <w:pPr>
        <w:rPr>
          <w:b/>
          <w:bCs/>
        </w:rPr>
      </w:pPr>
      <w:r>
        <w:rPr>
          <w:rFonts w:hint="eastAsia"/>
          <w:b/>
          <w:bCs/>
        </w:rPr>
        <w:t>（1）产品名称及域名</w:t>
      </w:r>
    </w:p>
    <w:p w14:paraId="40032EA4">
      <w:r>
        <w:rPr>
          <w:rFonts w:hint="eastAsia"/>
        </w:rPr>
        <w:t>产品全称：万方数据科研诚信培训系统</w:t>
      </w:r>
    </w:p>
    <w:p w14:paraId="16CE8D6A">
      <w:r>
        <w:rPr>
          <w:rFonts w:hint="eastAsia"/>
        </w:rPr>
        <w:t>产品简称：</w:t>
      </w:r>
      <w:r>
        <w:rPr>
          <w:rFonts w:hint="eastAsia"/>
          <w:lang w:val="en-US" w:eastAsia="zh-CN"/>
        </w:rPr>
        <w:t>诚信培训系统</w:t>
      </w:r>
    </w:p>
    <w:p w14:paraId="7D4E6478">
      <w:r>
        <w:rPr>
          <w:rFonts w:hint="eastAsia"/>
          <w:lang w:val="en-US" w:eastAsia="zh-CN"/>
        </w:rPr>
        <w:t>产品域名：</w:t>
      </w:r>
      <w:r>
        <w:rPr>
          <w:rFonts w:hint="eastAsia"/>
          <w:lang w:val="en-US" w:eastAsia="zh-CN"/>
        </w:rPr>
        <w:fldChar w:fldCharType="begin"/>
      </w:r>
      <w:r>
        <w:rPr>
          <w:rFonts w:hint="eastAsia"/>
          <w:lang w:val="en-US" w:eastAsia="zh-CN"/>
        </w:rPr>
        <w:instrText xml:space="preserve"> HYPERLINK "https://cx.wanfangdata.com.cn/e-training" </w:instrText>
      </w:r>
      <w:r>
        <w:rPr>
          <w:rFonts w:hint="eastAsia"/>
          <w:lang w:val="en-US" w:eastAsia="zh-CN"/>
        </w:rPr>
        <w:fldChar w:fldCharType="separate"/>
      </w:r>
      <w:r>
        <w:rPr>
          <w:rStyle w:val="24"/>
          <w:rFonts w:hint="eastAsia"/>
          <w:lang w:val="en-US" w:eastAsia="zh-CN"/>
        </w:rPr>
        <w:t>http://cx.wanfangdata.com.cn/e-training</w:t>
      </w:r>
      <w:r>
        <w:rPr>
          <w:rFonts w:hint="eastAsia"/>
          <w:lang w:val="en-US" w:eastAsia="zh-CN"/>
        </w:rPr>
        <w:fldChar w:fldCharType="end"/>
      </w:r>
    </w:p>
    <w:p w14:paraId="46247B39">
      <w:pPr>
        <w:rPr>
          <w:b/>
          <w:bCs/>
        </w:rPr>
      </w:pPr>
      <w:r>
        <w:rPr>
          <w:rFonts w:hint="eastAsia"/>
          <w:b/>
          <w:bCs/>
        </w:rPr>
        <w:t>（2）产品定位及价值</w:t>
      </w:r>
    </w:p>
    <w:p w14:paraId="04698094">
      <w:pPr>
        <w:ind w:firstLine="480" w:firstLineChars="200"/>
        <w:rPr>
          <w:rFonts w:hint="eastAsia"/>
          <w:szCs w:val="24"/>
        </w:rPr>
      </w:pPr>
      <w:r>
        <w:rPr>
          <w:rFonts w:hint="eastAsia" w:ascii="宋体" w:hAnsi="宋体"/>
          <w:szCs w:val="24"/>
        </w:rPr>
        <w:t>万方数据科研诚信</w:t>
      </w:r>
      <w:r>
        <w:rPr>
          <w:rFonts w:hint="eastAsia" w:ascii="宋体" w:hAnsi="宋体"/>
          <w:szCs w:val="24"/>
          <w:lang w:val="en-US" w:eastAsia="zh-CN"/>
        </w:rPr>
        <w:t>培训系统</w:t>
      </w:r>
      <w:r>
        <w:rPr>
          <w:rFonts w:hint="eastAsia" w:ascii="宋体" w:hAnsi="宋体"/>
          <w:szCs w:val="24"/>
        </w:rPr>
        <w:t>，是科研诚信</w:t>
      </w:r>
      <w:r>
        <w:rPr>
          <w:rFonts w:hint="eastAsia" w:ascii="宋体" w:hAnsi="宋体"/>
          <w:szCs w:val="24"/>
          <w:lang w:eastAsia="zh-CN"/>
        </w:rPr>
        <w:t>、</w:t>
      </w:r>
      <w:r>
        <w:rPr>
          <w:rFonts w:hint="eastAsia" w:ascii="宋体" w:hAnsi="宋体"/>
          <w:szCs w:val="24"/>
        </w:rPr>
        <w:t>学术规范</w:t>
      </w:r>
      <w:r>
        <w:rPr>
          <w:rFonts w:hint="eastAsia" w:ascii="宋体" w:hAnsi="宋体"/>
          <w:szCs w:val="24"/>
          <w:lang w:val="en-US" w:eastAsia="zh-CN"/>
        </w:rPr>
        <w:t>与科技伦理</w:t>
      </w:r>
      <w:r>
        <w:rPr>
          <w:rFonts w:hint="eastAsia" w:ascii="宋体" w:hAnsi="宋体"/>
          <w:szCs w:val="24"/>
        </w:rPr>
        <w:t>的</w:t>
      </w:r>
      <w:r>
        <w:rPr>
          <w:rFonts w:hint="eastAsia" w:ascii="宋体" w:hAnsi="宋体"/>
          <w:b/>
          <w:bCs/>
          <w:color w:val="027DB4"/>
          <w:szCs w:val="24"/>
        </w:rPr>
        <w:t>通识教育</w:t>
      </w:r>
      <w:r>
        <w:rPr>
          <w:rFonts w:hint="eastAsia" w:ascii="宋体" w:hAnsi="宋体"/>
          <w:b/>
          <w:bCs/>
          <w:color w:val="027DB4"/>
          <w:szCs w:val="24"/>
          <w:lang w:val="en-US" w:eastAsia="zh-CN"/>
        </w:rPr>
        <w:t>培训</w:t>
      </w:r>
      <w:r>
        <w:rPr>
          <w:rFonts w:hint="eastAsia" w:ascii="宋体" w:hAnsi="宋体"/>
          <w:b/>
          <w:bCs/>
          <w:color w:val="027DB4"/>
          <w:szCs w:val="24"/>
        </w:rPr>
        <w:t>平台</w:t>
      </w:r>
      <w:r>
        <w:rPr>
          <w:rFonts w:hint="eastAsia" w:ascii="宋体" w:hAnsi="宋体"/>
          <w:szCs w:val="24"/>
        </w:rPr>
        <w:t>，是万方数据</w:t>
      </w:r>
      <w:r>
        <w:rPr>
          <w:rFonts w:hint="eastAsia" w:ascii="宋体" w:hAnsi="宋体"/>
          <w:szCs w:val="24"/>
          <w:lang w:val="en-US" w:eastAsia="zh-CN"/>
        </w:rPr>
        <w:t>科研诚信事前教育服务-诚信学堂下属产品之一</w:t>
      </w:r>
      <w:r>
        <w:rPr>
          <w:rFonts w:hint="eastAsia" w:ascii="宋体" w:hAnsi="宋体"/>
          <w:szCs w:val="24"/>
        </w:rPr>
        <w:t>。</w:t>
      </w:r>
    </w:p>
    <w:p w14:paraId="2E3E6986">
      <w:pPr>
        <w:ind w:left="0" w:leftChars="0" w:firstLine="480" w:firstLineChars="200"/>
        <w:rPr>
          <w:rFonts w:hint="eastAsia" w:eastAsia="宋体"/>
          <w:szCs w:val="24"/>
        </w:rPr>
      </w:pPr>
      <w:r>
        <w:rPr>
          <w:rFonts w:hint="eastAsia" w:eastAsia="宋体"/>
          <w:szCs w:val="24"/>
        </w:rPr>
        <w:t>诚信培训系统是一款面向个人及科研管理机构的教育培训普适化产品，通过形成“</w:t>
      </w:r>
      <w:r>
        <w:rPr>
          <w:rFonts w:hint="eastAsia" w:ascii="宋体" w:hAnsi="宋体" w:eastAsia="宋体"/>
          <w:b/>
          <w:bCs/>
          <w:color w:val="027DB4"/>
          <w:szCs w:val="24"/>
          <w:lang w:val="en-US" w:eastAsia="zh-CN"/>
        </w:rPr>
        <w:t>培训-测评-证书</w:t>
      </w:r>
      <w:r>
        <w:rPr>
          <w:rFonts w:hint="eastAsia" w:eastAsia="宋体"/>
          <w:szCs w:val="24"/>
        </w:rPr>
        <w:t>”教育培训闭环，满足广大科研人员的基础学习培训需求，辅助机构落实科研诚信建设的主体责任，加强对科研人员、教师、青年学生等的科研诚信教育，帮助营造风清气正的科研氛围。</w:t>
      </w:r>
    </w:p>
    <w:p w14:paraId="3DF38C64">
      <w:pPr>
        <w:pStyle w:val="2"/>
        <w:numPr>
          <w:ilvl w:val="0"/>
          <w:numId w:val="3"/>
        </w:numPr>
      </w:pPr>
      <w:r>
        <w:rPr>
          <w:rFonts w:hint="eastAsia"/>
        </w:rPr>
        <w:t>产品使用说明</w:t>
      </w:r>
    </w:p>
    <w:p w14:paraId="6374A208">
      <w:pPr>
        <w:pStyle w:val="4"/>
      </w:pPr>
      <w:r>
        <w:rPr>
          <w:rFonts w:hint="eastAsia"/>
        </w:rPr>
        <w:t>2</w:t>
      </w:r>
      <w:r>
        <w:t>.1用户</w:t>
      </w:r>
      <w:r>
        <w:rPr>
          <w:rFonts w:hint="eastAsia"/>
          <w:lang w:val="en-US" w:eastAsia="zh-CN"/>
        </w:rPr>
        <w:t>身份</w:t>
      </w:r>
      <w:r>
        <w:t>及资源权限</w:t>
      </w:r>
    </w:p>
    <w:p w14:paraId="758A10D6">
      <w:pPr>
        <w:pStyle w:val="44"/>
        <w:ind w:left="5" w:leftChars="0" w:firstLine="470" w:firstLineChars="196"/>
      </w:pPr>
      <w:r>
        <w:t>本系统用户</w:t>
      </w:r>
      <w:r>
        <w:rPr>
          <w:rFonts w:hint="eastAsia"/>
          <w:lang w:val="en-US" w:eastAsia="zh-CN"/>
        </w:rPr>
        <w:t>有</w:t>
      </w:r>
      <w:r>
        <w:t>个人用户和机构用户</w:t>
      </w:r>
      <w:r>
        <w:rPr>
          <w:rFonts w:hint="eastAsia"/>
          <w:lang w:val="en-US" w:eastAsia="zh-CN"/>
        </w:rPr>
        <w:t>两种身份</w:t>
      </w:r>
      <w:r>
        <w:rPr>
          <w:rFonts w:hint="eastAsia"/>
        </w:rPr>
        <w:t>，</w:t>
      </w:r>
      <w:r>
        <w:t>不同</w:t>
      </w:r>
      <w:r>
        <w:rPr>
          <w:rFonts w:hint="eastAsia"/>
          <w:lang w:val="en-US" w:eastAsia="zh-CN"/>
        </w:rPr>
        <w:t>身份</w:t>
      </w:r>
      <w:r>
        <w:t>的用户可以查看的资源权限各不相同</w:t>
      </w:r>
      <w:r>
        <w:rPr>
          <w:rFonts w:hint="eastAsia"/>
        </w:rPr>
        <w:t>，</w:t>
      </w:r>
      <w:r>
        <w:t>机构用户能查看所有资源</w:t>
      </w:r>
      <w:r>
        <w:rPr>
          <w:rFonts w:hint="eastAsia"/>
        </w:rPr>
        <w:t>。</w:t>
      </w:r>
    </w:p>
    <w:p w14:paraId="60379797">
      <w:pPr>
        <w:pStyle w:val="44"/>
        <w:numPr>
          <w:ilvl w:val="0"/>
          <w:numId w:val="5"/>
        </w:numPr>
        <w:ind w:firstLineChars="0"/>
      </w:pPr>
      <w:r>
        <w:t>个人用户</w:t>
      </w:r>
      <w:r>
        <w:rPr>
          <w:rFonts w:hint="eastAsia"/>
        </w:rPr>
        <w:t>：</w:t>
      </w:r>
      <w:r>
        <w:rPr>
          <w:rFonts w:hint="eastAsia"/>
          <w:lang w:val="en-US" w:eastAsia="zh-CN"/>
        </w:rPr>
        <w:t>注册并</w:t>
      </w:r>
      <w:r>
        <w:t>登录的用户</w:t>
      </w:r>
    </w:p>
    <w:p w14:paraId="5574BF06">
      <w:pPr>
        <w:pStyle w:val="44"/>
        <w:numPr>
          <w:ilvl w:val="0"/>
          <w:numId w:val="5"/>
        </w:numPr>
        <w:ind w:firstLineChars="0"/>
        <w:rPr>
          <w:rStyle w:val="25"/>
        </w:rPr>
      </w:pPr>
      <w:r>
        <w:t>机构用户</w:t>
      </w:r>
      <w:r>
        <w:rPr>
          <w:rFonts w:hint="eastAsia"/>
        </w:rPr>
        <w:t>：</w:t>
      </w:r>
      <w:r>
        <w:rPr>
          <w:rFonts w:hint="eastAsia"/>
          <w:lang w:val="en-US" w:eastAsia="zh-CN"/>
        </w:rPr>
        <w:t>个人用户</w:t>
      </w:r>
      <w:r>
        <w:t>绑定机构</w:t>
      </w:r>
      <w:r>
        <w:rPr>
          <w:rFonts w:hint="eastAsia"/>
          <w:lang w:val="en-US" w:eastAsia="zh-CN"/>
        </w:rPr>
        <w:t>后成为机构</w:t>
      </w:r>
      <w:r>
        <w:t>用户</w:t>
      </w:r>
    </w:p>
    <w:p w14:paraId="4758B43F">
      <w:pPr>
        <w:rPr>
          <w:rStyle w:val="25"/>
        </w:rPr>
      </w:pPr>
      <w:r>
        <w:rPr>
          <w:rStyle w:val="25"/>
        </w:rPr>
        <w:br w:type="page"/>
      </w:r>
    </w:p>
    <w:p w14:paraId="041B52C6">
      <w:pPr>
        <w:pStyle w:val="44"/>
        <w:ind w:left="845" w:firstLine="0" w:firstLineChars="0"/>
        <w:jc w:val="center"/>
        <w:rPr>
          <w:rStyle w:val="25"/>
        </w:rPr>
      </w:pPr>
      <w:r>
        <w:rPr>
          <w:rStyle w:val="25"/>
        </w:rPr>
        <w:t>资源权限对照表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2146"/>
        <w:gridCol w:w="1580"/>
      </w:tblGrid>
      <w:tr w14:paraId="4579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862" w:type="dxa"/>
            <w:tcBorders>
              <w:top w:val="single" w:color="64C5BF" w:sz="4" w:space="0"/>
              <w:left w:val="single" w:color="FFFFFF" w:sz="4" w:space="0"/>
              <w:bottom w:val="single" w:color="64C5BF" w:sz="4" w:space="0"/>
              <w:right w:val="single" w:color="DAF1F0" w:sz="4" w:space="0"/>
              <w:tl2br w:val="single" w:color="auto" w:sz="4" w:space="0"/>
            </w:tcBorders>
            <w:shd w:val="clear" w:color="auto" w:fill="FFFFFF"/>
            <mc:AlternateContent>
              <mc:Choice Requires="wpsCustomData">
                <wpsCustomData:diagonals>
                  <wpsCustomData:diagonal from="10000" to="30000">
                    <wpsCustomData:border w:val="single" w:color="64C5BF" w:sz="4" w:space="0"/>
                  </wpsCustomData:diagonal>
                </wpsCustomData:diagonals>
              </mc:Choice>
            </mc:AlternateContent>
          </w:tcPr>
          <w:p w14:paraId="168D42CE">
            <w:pPr>
              <w:pStyle w:val="44"/>
              <w:snapToGrid w:val="0"/>
              <w:ind w:firstLine="0" w:firstLineChars="0"/>
              <w:rPr>
                <w:rFonts w:hint="eastAsia" w:ascii="华文中宋" w:hAnsi="华文中宋" w:eastAsia="华文中宋" w:cs="华文中宋"/>
                <w:color w:val="000000"/>
                <w:sz w:val="21"/>
                <w:szCs w:val="20"/>
                <w:lang w:val="en-US" w:eastAsia="zh-CN"/>
              </w:rPr>
            </w:pPr>
          </w:p>
          <w:p w14:paraId="4BC7723A">
            <w:pPr>
              <w:pStyle w:val="44"/>
              <w:snapToGrid w:val="0"/>
              <w:ind w:firstLine="0" w:firstLineChars="0"/>
              <mc:AlternateContent>
                <mc:Choice Requires="wpsCustomData">
                  <wpsCustomData:diagonalParaType/>
                </mc:Choice>
              </mc:AlternateContent>
              <w:rPr>
                <w:rFonts w:hint="eastAsia" w:ascii="华文中宋" w:hAnsi="华文中宋" w:eastAsia="华文中宋" w:cs="华文中宋"/>
                <w:color w:val="000000"/>
                <w:sz w:val="21"/>
                <w:szCs w:val="20"/>
                <w:lang w:val="en-US" w:eastAsia="zh-CN"/>
              </w:rPr>
            </w:pPr>
            <w:r>
              <w:rPr>
                <w:rFonts w:hint="eastAsia" w:ascii="华文中宋" w:hAnsi="华文中宋" w:eastAsia="华文中宋" w:cs="华文中宋"/>
                <w:color w:val="000000"/>
                <w:sz w:val="21"/>
                <w:szCs w:val="20"/>
                <w:lang w:val="en-US" w:eastAsia="zh-CN"/>
              </w:rPr>
              <w:t>栏目</w:t>
            </w:r>
          </w:p>
          <w:p w14:paraId="416C969E">
            <w:pPr>
              <w:pStyle w:val="44"/>
              <w:ind w:firstLine="0" w:firstLineChars="0"/>
              <w:rPr>
                <w:rFonts w:hint="eastAsia" w:ascii="华文中宋" w:hAnsi="华文中宋" w:eastAsia="华文中宋" w:cs="华文中宋"/>
                <w:color w:val="000000"/>
                <w:sz w:val="21"/>
                <w:szCs w:val="20"/>
                <w:lang w:val="en-US" w:eastAsia="zh-CN"/>
              </w:rPr>
            </w:pPr>
            <w:r>
              <w:rPr>
                <w:rFonts w:hint="eastAsia" w:ascii="华文中宋" w:hAnsi="华文中宋" w:eastAsia="华文中宋" w:cs="华文中宋"/>
                <w:color w:val="000000"/>
                <w:sz w:val="21"/>
                <w:szCs w:val="20"/>
                <w:lang w:val="en-US" w:eastAsia="zh-CN"/>
              </w:rPr>
              <w:t>用户身份</w:t>
            </w:r>
          </w:p>
        </w:tc>
        <w:tc>
          <w:tcPr>
            <w:tcW w:w="2146" w:type="dxa"/>
            <w:tcBorders>
              <w:top w:val="single" w:color="64C5BF" w:sz="4" w:space="0"/>
              <w:left w:val="single" w:color="DAF1F0" w:sz="4" w:space="0"/>
              <w:bottom w:val="single" w:color="64C5BF" w:sz="4" w:space="0"/>
              <w:right w:val="single" w:color="DAF1F0" w:sz="4" w:space="0"/>
            </w:tcBorders>
            <w:shd w:val="clear" w:color="auto" w:fill="FFFFFF"/>
          </w:tcPr>
          <w:p w14:paraId="4D351D16">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个人用户</w:t>
            </w:r>
          </w:p>
        </w:tc>
        <w:tc>
          <w:tcPr>
            <w:tcW w:w="1580" w:type="dxa"/>
            <w:tcBorders>
              <w:top w:val="single" w:color="64C5BF" w:sz="4" w:space="0"/>
              <w:left w:val="single" w:color="DAF1F0" w:sz="4" w:space="0"/>
              <w:bottom w:val="single" w:color="64C5BF" w:sz="4" w:space="0"/>
              <w:right w:val="single" w:color="FFFFFF" w:sz="4" w:space="0"/>
            </w:tcBorders>
            <w:shd w:val="clear" w:color="auto" w:fill="FFFFFF"/>
          </w:tcPr>
          <w:p w14:paraId="61E87056">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机构用户</w:t>
            </w:r>
          </w:p>
        </w:tc>
      </w:tr>
      <w:tr w14:paraId="24F7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2" w:type="dxa"/>
            <w:tcBorders>
              <w:top w:val="single" w:color="64C5BF" w:sz="4" w:space="0"/>
              <w:left w:val="single" w:color="FFFFFF" w:sz="4" w:space="0"/>
              <w:bottom w:val="single" w:color="DAF1F0" w:sz="4" w:space="0"/>
              <w:right w:val="single" w:color="DAF1F0" w:sz="4" w:space="0"/>
            </w:tcBorders>
            <w:shd w:val="clear" w:color="auto" w:fill="F5FCFB"/>
          </w:tcPr>
          <w:p w14:paraId="4DB79B81">
            <w:pPr>
              <w:pStyle w:val="44"/>
              <w:ind w:firstLine="0" w:firstLineChars="0"/>
              <w:jc w:val="left"/>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直播</w:t>
            </w:r>
          </w:p>
        </w:tc>
        <w:tc>
          <w:tcPr>
            <w:tcW w:w="2146" w:type="dxa"/>
            <w:tcBorders>
              <w:top w:val="single" w:color="64C5BF" w:sz="4" w:space="0"/>
              <w:left w:val="single" w:color="DAF1F0" w:sz="4" w:space="0"/>
              <w:bottom w:val="single" w:color="DAF1F0" w:sz="4" w:space="0"/>
              <w:right w:val="single" w:color="DAF1F0" w:sz="4" w:space="0"/>
            </w:tcBorders>
            <w:shd w:val="clear" w:color="auto" w:fill="F5FCFB"/>
          </w:tcPr>
          <w:p w14:paraId="351D3D9E">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c>
          <w:tcPr>
            <w:tcW w:w="1580" w:type="dxa"/>
            <w:tcBorders>
              <w:top w:val="single" w:color="64C5BF" w:sz="4" w:space="0"/>
              <w:left w:val="single" w:color="DAF1F0" w:sz="4" w:space="0"/>
              <w:bottom w:val="single" w:color="DAF1F0" w:sz="4" w:space="0"/>
              <w:right w:val="single" w:color="FFFFFF" w:sz="4" w:space="0"/>
            </w:tcBorders>
            <w:shd w:val="clear" w:color="auto" w:fill="F5FCFB"/>
          </w:tcPr>
          <w:p w14:paraId="3F58CC84">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r>
      <w:tr w14:paraId="3C8BD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2" w:type="dxa"/>
            <w:tcBorders>
              <w:top w:val="single" w:color="DAF1F0" w:sz="4" w:space="0"/>
              <w:left w:val="single" w:color="FFFFFF" w:sz="4" w:space="0"/>
              <w:bottom w:val="single" w:color="DAF1F0" w:sz="4" w:space="0"/>
              <w:right w:val="single" w:color="DAF1F0" w:sz="4" w:space="0"/>
            </w:tcBorders>
            <w:shd w:val="clear" w:color="auto" w:fill="FFFFFF"/>
          </w:tcPr>
          <w:p w14:paraId="4695024A">
            <w:pPr>
              <w:pStyle w:val="44"/>
              <w:ind w:firstLine="0" w:firstLineChars="0"/>
              <w:jc w:val="left"/>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大讲堂</w:t>
            </w:r>
          </w:p>
        </w:tc>
        <w:tc>
          <w:tcPr>
            <w:tcW w:w="2146" w:type="dxa"/>
            <w:tcBorders>
              <w:top w:val="single" w:color="DAF1F0" w:sz="4" w:space="0"/>
              <w:left w:val="single" w:color="DAF1F0" w:sz="4" w:space="0"/>
              <w:bottom w:val="single" w:color="DAF1F0" w:sz="4" w:space="0"/>
              <w:right w:val="single" w:color="DAF1F0" w:sz="4" w:space="0"/>
            </w:tcBorders>
            <w:shd w:val="clear" w:color="auto" w:fill="FFFFFF"/>
          </w:tcPr>
          <w:p w14:paraId="7896F9FE">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c>
          <w:tcPr>
            <w:tcW w:w="1580" w:type="dxa"/>
            <w:tcBorders>
              <w:top w:val="single" w:color="DAF1F0" w:sz="4" w:space="0"/>
              <w:left w:val="single" w:color="DAF1F0" w:sz="4" w:space="0"/>
              <w:bottom w:val="single" w:color="DAF1F0" w:sz="4" w:space="0"/>
              <w:right w:val="single" w:color="FFFFFF" w:sz="4" w:space="0"/>
            </w:tcBorders>
            <w:shd w:val="clear" w:color="auto" w:fill="FFFFFF"/>
          </w:tcPr>
          <w:p w14:paraId="71BEBC21">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r>
      <w:tr w14:paraId="6B1B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2" w:type="dxa"/>
            <w:tcBorders>
              <w:top w:val="single" w:color="DAF1F0" w:sz="4" w:space="0"/>
              <w:left w:val="single" w:color="FFFFFF" w:sz="4" w:space="0"/>
              <w:bottom w:val="single" w:color="DAF1F0" w:sz="4" w:space="0"/>
              <w:right w:val="single" w:color="DAF1F0" w:sz="4" w:space="0"/>
            </w:tcBorders>
            <w:shd w:val="clear" w:color="auto" w:fill="F5FCFB"/>
          </w:tcPr>
          <w:p w14:paraId="78B4B47C">
            <w:pPr>
              <w:pStyle w:val="44"/>
              <w:ind w:firstLine="0" w:firstLineChars="0"/>
              <w:jc w:val="left"/>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精品课程</w:t>
            </w:r>
          </w:p>
        </w:tc>
        <w:tc>
          <w:tcPr>
            <w:tcW w:w="2146" w:type="dxa"/>
            <w:tcBorders>
              <w:top w:val="single" w:color="DAF1F0" w:sz="4" w:space="0"/>
              <w:left w:val="single" w:color="DAF1F0" w:sz="4" w:space="0"/>
              <w:bottom w:val="single" w:color="DAF1F0" w:sz="4" w:space="0"/>
              <w:right w:val="single" w:color="DAF1F0" w:sz="4" w:space="0"/>
            </w:tcBorders>
            <w:shd w:val="clear" w:color="auto" w:fill="F5FCFB"/>
          </w:tcPr>
          <w:p w14:paraId="08866275">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c>
          <w:tcPr>
            <w:tcW w:w="1580" w:type="dxa"/>
            <w:tcBorders>
              <w:top w:val="single" w:color="DAF1F0" w:sz="4" w:space="0"/>
              <w:left w:val="single" w:color="DAF1F0" w:sz="4" w:space="0"/>
              <w:bottom w:val="single" w:color="DAF1F0" w:sz="4" w:space="0"/>
              <w:right w:val="single" w:color="FFFFFF" w:sz="4" w:space="0"/>
            </w:tcBorders>
            <w:shd w:val="clear" w:color="auto" w:fill="F5FCFB"/>
          </w:tcPr>
          <w:p w14:paraId="6A62E3BA">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r>
      <w:tr w14:paraId="58C9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2" w:type="dxa"/>
            <w:tcBorders>
              <w:top w:val="single" w:color="DAF1F0" w:sz="4" w:space="0"/>
              <w:left w:val="single" w:color="FFFFFF" w:sz="4" w:space="0"/>
              <w:bottom w:val="single" w:color="DAF1F0" w:sz="4" w:space="0"/>
              <w:right w:val="single" w:color="DAF1F0" w:sz="4" w:space="0"/>
            </w:tcBorders>
            <w:shd w:val="clear" w:color="auto" w:fill="FFFFFF"/>
          </w:tcPr>
          <w:p w14:paraId="1DED47D7">
            <w:pPr>
              <w:pStyle w:val="44"/>
              <w:ind w:firstLine="0" w:firstLineChars="0"/>
              <w:jc w:val="left"/>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测评</w:t>
            </w:r>
          </w:p>
        </w:tc>
        <w:tc>
          <w:tcPr>
            <w:tcW w:w="2146" w:type="dxa"/>
            <w:tcBorders>
              <w:top w:val="single" w:color="DAF1F0" w:sz="4" w:space="0"/>
              <w:left w:val="single" w:color="DAF1F0" w:sz="4" w:space="0"/>
              <w:bottom w:val="single" w:color="DAF1F0" w:sz="4" w:space="0"/>
              <w:right w:val="single" w:color="DAF1F0" w:sz="4" w:space="0"/>
            </w:tcBorders>
            <w:shd w:val="clear" w:color="auto" w:fill="FFFFFF"/>
            <w:vAlign w:val="center"/>
          </w:tcPr>
          <w:p w14:paraId="69A78118">
            <w:pPr>
              <w:pStyle w:val="44"/>
              <w:ind w:firstLine="0" w:firstLineChars="0"/>
              <w:jc w:val="center"/>
              <w:rPr>
                <w:rFonts w:hint="default" w:ascii="华文中宋" w:hAnsi="华文中宋" w:eastAsia="华文中宋" w:cs="华文中宋"/>
                <w:color w:val="000000"/>
                <w:sz w:val="22"/>
                <w:szCs w:val="21"/>
                <w:lang w:val="en-US" w:eastAsia="zh-CN"/>
              </w:rPr>
            </w:pPr>
            <w:r>
              <w:rPr>
                <w:rFonts w:hint="eastAsia" w:ascii="华文中宋" w:hAnsi="华文中宋" w:eastAsia="华文中宋" w:cs="华文中宋"/>
                <w:color w:val="000000"/>
                <w:sz w:val="22"/>
                <w:szCs w:val="21"/>
              </w:rPr>
              <w:t>×</w:t>
            </w:r>
          </w:p>
        </w:tc>
        <w:tc>
          <w:tcPr>
            <w:tcW w:w="1580" w:type="dxa"/>
            <w:tcBorders>
              <w:top w:val="single" w:color="DAF1F0" w:sz="4" w:space="0"/>
              <w:left w:val="single" w:color="DAF1F0" w:sz="4" w:space="0"/>
              <w:bottom w:val="single" w:color="DAF1F0" w:sz="4" w:space="0"/>
              <w:right w:val="single" w:color="FFFFFF" w:sz="4" w:space="0"/>
            </w:tcBorders>
            <w:shd w:val="clear" w:color="auto" w:fill="FFFFFF"/>
          </w:tcPr>
          <w:p w14:paraId="197C9B05">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r>
      <w:tr w14:paraId="5760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2" w:type="dxa"/>
            <w:tcBorders>
              <w:top w:val="single" w:color="DAF1F0" w:sz="4" w:space="0"/>
              <w:left w:val="single" w:color="FFFFFF" w:sz="4" w:space="0"/>
              <w:bottom w:val="single" w:color="DAF1F0" w:sz="4" w:space="0"/>
              <w:right w:val="single" w:color="DAF1F0" w:sz="4" w:space="0"/>
            </w:tcBorders>
            <w:shd w:val="clear" w:color="auto" w:fill="F5FCFB"/>
          </w:tcPr>
          <w:p w14:paraId="2EB0AC62">
            <w:pPr>
              <w:pStyle w:val="44"/>
              <w:ind w:firstLine="0" w:firstLineChars="0"/>
              <w:jc w:val="left"/>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资源</w:t>
            </w:r>
          </w:p>
        </w:tc>
        <w:tc>
          <w:tcPr>
            <w:tcW w:w="2146" w:type="dxa"/>
            <w:tcBorders>
              <w:top w:val="single" w:color="DAF1F0" w:sz="4" w:space="0"/>
              <w:left w:val="single" w:color="DAF1F0" w:sz="4" w:space="0"/>
              <w:bottom w:val="single" w:color="DAF1F0" w:sz="4" w:space="0"/>
              <w:right w:val="single" w:color="DAF1F0" w:sz="4" w:space="0"/>
            </w:tcBorders>
            <w:shd w:val="clear" w:color="auto" w:fill="F5FCFB"/>
          </w:tcPr>
          <w:p w14:paraId="1C26C02C">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c>
          <w:tcPr>
            <w:tcW w:w="1580" w:type="dxa"/>
            <w:tcBorders>
              <w:top w:val="single" w:color="DAF1F0" w:sz="4" w:space="0"/>
              <w:left w:val="single" w:color="DAF1F0" w:sz="4" w:space="0"/>
              <w:bottom w:val="single" w:color="DAF1F0" w:sz="4" w:space="0"/>
              <w:right w:val="single" w:color="FFFFFF" w:sz="4" w:space="0"/>
            </w:tcBorders>
            <w:shd w:val="clear" w:color="auto" w:fill="F5FCFB"/>
          </w:tcPr>
          <w:p w14:paraId="70AF5903">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r>
      <w:tr w14:paraId="38F0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2" w:type="dxa"/>
            <w:tcBorders>
              <w:top w:val="single" w:color="DAF1F0" w:sz="4" w:space="0"/>
              <w:left w:val="single" w:color="FFFFFF" w:sz="4" w:space="0"/>
              <w:bottom w:val="single" w:color="64C5BF" w:sz="4" w:space="0"/>
              <w:right w:val="single" w:color="DAF1F0" w:sz="4" w:space="0"/>
            </w:tcBorders>
            <w:shd w:val="clear" w:color="auto" w:fill="DAF1F0"/>
          </w:tcPr>
          <w:p w14:paraId="7F0FC1A1">
            <w:pPr>
              <w:pStyle w:val="44"/>
              <w:ind w:firstLine="0" w:firstLineChars="0"/>
              <w:jc w:val="left"/>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活动</w:t>
            </w:r>
          </w:p>
        </w:tc>
        <w:tc>
          <w:tcPr>
            <w:tcW w:w="2146" w:type="dxa"/>
            <w:tcBorders>
              <w:top w:val="single" w:color="DAF1F0" w:sz="4" w:space="0"/>
              <w:left w:val="single" w:color="DAF1F0" w:sz="4" w:space="0"/>
              <w:bottom w:val="single" w:color="64C5BF" w:sz="4" w:space="0"/>
              <w:right w:val="single" w:color="DAF1F0" w:sz="4" w:space="0"/>
            </w:tcBorders>
            <w:shd w:val="clear" w:color="auto" w:fill="DAF1F0"/>
          </w:tcPr>
          <w:p w14:paraId="6364288C">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c>
          <w:tcPr>
            <w:tcW w:w="1580" w:type="dxa"/>
            <w:tcBorders>
              <w:top w:val="single" w:color="DAF1F0" w:sz="4" w:space="0"/>
              <w:left w:val="single" w:color="DAF1F0" w:sz="4" w:space="0"/>
              <w:bottom w:val="single" w:color="64C5BF" w:sz="4" w:space="0"/>
              <w:right w:val="single" w:color="FFFFFF" w:sz="4" w:space="0"/>
            </w:tcBorders>
            <w:shd w:val="clear" w:color="auto" w:fill="DAF1F0"/>
          </w:tcPr>
          <w:p w14:paraId="7ECDB5B4">
            <w:pPr>
              <w:pStyle w:val="44"/>
              <w:ind w:firstLine="0" w:firstLineChars="0"/>
              <w:jc w:val="center"/>
              <w:rPr>
                <w:rFonts w:hint="eastAsia" w:ascii="华文中宋" w:hAnsi="华文中宋" w:eastAsia="华文中宋" w:cs="华文中宋"/>
                <w:color w:val="000000"/>
                <w:sz w:val="22"/>
                <w:szCs w:val="21"/>
              </w:rPr>
            </w:pPr>
            <w:r>
              <w:rPr>
                <w:rFonts w:hint="eastAsia" w:ascii="华文中宋" w:hAnsi="华文中宋" w:eastAsia="华文中宋" w:cs="华文中宋"/>
                <w:color w:val="000000"/>
                <w:sz w:val="22"/>
                <w:szCs w:val="21"/>
              </w:rPr>
              <w:t>√</w:t>
            </w:r>
          </w:p>
        </w:tc>
      </w:tr>
    </w:tbl>
    <w:p w14:paraId="2A31225C"/>
    <w:p w14:paraId="246A4F7A">
      <w:pPr>
        <w:pStyle w:val="4"/>
      </w:pPr>
      <w:r>
        <w:rPr>
          <w:rFonts w:hint="eastAsia"/>
        </w:rPr>
        <w:t>2</w:t>
      </w:r>
      <w:r>
        <w:t>.2 注册</w:t>
      </w:r>
      <w:r>
        <w:rPr>
          <w:rFonts w:hint="eastAsia"/>
        </w:rPr>
        <w:t>、</w:t>
      </w:r>
      <w:r>
        <w:t>登录与机构绑定</w:t>
      </w:r>
    </w:p>
    <w:p w14:paraId="07D05D01">
      <w:pPr>
        <w:pStyle w:val="5"/>
        <w:bidi w:val="0"/>
        <w:rPr>
          <w:rFonts w:hint="eastAsia"/>
          <w:lang w:val="en-US" w:eastAsia="zh-CN"/>
        </w:rPr>
      </w:pPr>
      <w:r>
        <w:rPr>
          <w:rFonts w:hint="eastAsia"/>
          <w:lang w:val="en-US" w:eastAsia="zh-CN"/>
        </w:rPr>
        <w:t>2.2.1入口</w:t>
      </w:r>
    </w:p>
    <w:p w14:paraId="39484EC2">
      <w:pPr>
        <w:numPr>
          <w:ilvl w:val="0"/>
          <w:numId w:val="6"/>
        </w:numPr>
        <w:ind w:firstLine="420" w:firstLineChars="0"/>
        <w:jc w:val="left"/>
      </w:pPr>
      <w:r>
        <w:t>在浏览器中输入网址</w:t>
      </w:r>
      <w:r>
        <w:rPr>
          <w:rFonts w:hint="eastAsia"/>
        </w:rPr>
        <w:t>：</w:t>
      </w:r>
      <w:r>
        <w:fldChar w:fldCharType="begin"/>
      </w:r>
      <w:r>
        <w:instrText xml:space="preserve"> HYPERLINK "http://cx.wanfangdata.com.cn/e-learning" </w:instrText>
      </w:r>
      <w:r>
        <w:fldChar w:fldCharType="separate"/>
      </w:r>
      <w:r>
        <w:rPr>
          <w:rFonts w:hint="eastAsia"/>
        </w:rPr>
        <w:t>http://cx.wanfangdata.com.cn/e-</w:t>
      </w:r>
      <w:r>
        <w:rPr>
          <w:rFonts w:hint="eastAsia"/>
        </w:rPr>
        <w:fldChar w:fldCharType="end"/>
      </w:r>
      <w:r>
        <w:t xml:space="preserve"> training</w:t>
      </w:r>
      <w:r>
        <w:rPr>
          <w:rFonts w:hint="eastAsia"/>
        </w:rPr>
        <w:t>，</w:t>
      </w:r>
      <w:r>
        <w:t>进入</w:t>
      </w:r>
      <w:r>
        <w:rPr>
          <w:rFonts w:hint="eastAsia"/>
        </w:rPr>
        <w:t>万方数据科研诚信培训系统网站，点击【登录/注册】</w:t>
      </w:r>
      <w:r>
        <w:t>按钮</w:t>
      </w:r>
      <w:r>
        <w:rPr>
          <w:rFonts w:hint="eastAsia"/>
          <w:lang w:eastAsia="zh-CN"/>
        </w:rPr>
        <w:t>，</w:t>
      </w:r>
      <w:r>
        <w:rPr>
          <w:rFonts w:hint="eastAsia"/>
          <w:lang w:val="en-US" w:eastAsia="zh-CN"/>
        </w:rPr>
        <w:t>跳转至登录界面</w:t>
      </w:r>
      <w:r>
        <w:rPr>
          <w:rFonts w:hint="eastAsia"/>
        </w:rPr>
        <w:t>。</w:t>
      </w:r>
    </w:p>
    <w:p w14:paraId="3D204678">
      <w:pPr>
        <w:numPr>
          <w:ilvl w:val="0"/>
          <w:numId w:val="6"/>
        </w:numPr>
        <w:ind w:firstLine="420" w:firstLineChars="0"/>
        <w:jc w:val="left"/>
      </w:pPr>
      <w:r>
        <w:rPr>
          <w:rFonts w:hint="eastAsia"/>
          <w:lang w:val="en-US" w:eastAsia="zh-CN"/>
        </w:rPr>
        <w:t>当要查看的资源需要登录时，系统自动跳转至登录界面。</w:t>
      </w:r>
    </w:p>
    <w:p w14:paraId="09547496">
      <w:pPr>
        <w:pStyle w:val="5"/>
        <w:bidi w:val="0"/>
      </w:pPr>
      <w:r>
        <w:rPr>
          <w:rFonts w:hint="eastAsia"/>
          <w:lang w:val="en-US" w:eastAsia="zh-CN"/>
        </w:rPr>
        <w:t>2.2.2登录及</w:t>
      </w:r>
      <w:r>
        <w:t>注册</w:t>
      </w:r>
    </w:p>
    <w:p w14:paraId="425CF94D">
      <w:pPr>
        <w:ind w:firstLine="420" w:firstLineChars="0"/>
        <w:rPr>
          <w:rFonts w:hint="default" w:eastAsia="宋体"/>
          <w:lang w:val="en-US" w:eastAsia="zh-CN"/>
        </w:rPr>
      </w:pPr>
      <w:r>
        <w:t>首次登录的用户</w:t>
      </w:r>
      <w:r>
        <w:rPr>
          <w:rFonts w:hint="eastAsia"/>
        </w:rPr>
        <w:t>，</w:t>
      </w:r>
      <w:r>
        <w:t>请点击登录页下方的</w:t>
      </w:r>
      <w:r>
        <w:rPr>
          <w:rFonts w:hint="eastAsia"/>
        </w:rPr>
        <w:t>【</w:t>
      </w:r>
      <w:r>
        <w:t>注册</w:t>
      </w:r>
      <w:r>
        <w:rPr>
          <w:rFonts w:hint="eastAsia"/>
        </w:rPr>
        <w:t>】按钮，进行新用户注册。依次填写手机号（仅支持大陆手机号）、验证码、用户名、密码等内容，注册成功后用户名将无法修改，请谨慎填写。</w:t>
      </w:r>
      <w:r>
        <w:rPr>
          <w:rFonts w:hint="eastAsia"/>
          <w:lang w:val="en-US" w:eastAsia="zh-CN"/>
        </w:rPr>
        <w:t>也可在登录界面，选择“短信验证码登录”方式，未注册手机号短信验证后将自动注册，之后可一直采用手机号验证码方式登录。</w:t>
      </w:r>
    </w:p>
    <w:p w14:paraId="15FE6C34">
      <w:pPr>
        <w:jc w:val="center"/>
      </w:pPr>
      <w:r>
        <w:drawing>
          <wp:inline distT="0" distB="0" distL="114300" distR="114300">
            <wp:extent cx="5095875" cy="2673350"/>
            <wp:effectExtent l="104775" t="80010" r="104775" b="850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5095875" cy="267335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FAC4693">
      <w:pPr>
        <w:pStyle w:val="5"/>
        <w:bidi w:val="0"/>
        <w:rPr>
          <w:rFonts w:hint="eastAsia" w:eastAsia="宋体"/>
          <w:lang w:val="en-US" w:eastAsia="zh-CN"/>
        </w:rPr>
      </w:pPr>
      <w:r>
        <w:rPr>
          <w:rFonts w:hint="eastAsia" w:eastAsia="宋体"/>
          <w:lang w:val="en-US" w:eastAsia="zh-CN"/>
        </w:rPr>
        <w:t>2.2.</w:t>
      </w:r>
      <w:r>
        <w:rPr>
          <w:rFonts w:hint="eastAsia"/>
          <w:lang w:val="en-US" w:eastAsia="zh-CN"/>
        </w:rPr>
        <w:t>3</w:t>
      </w:r>
      <w:r>
        <w:rPr>
          <w:rFonts w:hint="eastAsia" w:eastAsia="宋体"/>
          <w:lang w:val="en-US" w:eastAsia="zh-CN"/>
        </w:rPr>
        <w:t>绑定机构</w:t>
      </w:r>
    </w:p>
    <w:p w14:paraId="1ACE5312">
      <w:pPr>
        <w:pStyle w:val="44"/>
        <w:numPr>
          <w:ilvl w:val="0"/>
          <w:numId w:val="0"/>
        </w:numPr>
        <w:ind w:leftChars="0" w:firstLine="420" w:firstLineChars="0"/>
      </w:pPr>
      <w:r>
        <w:rPr>
          <w:rFonts w:hint="eastAsia"/>
          <w:lang w:val="en-US" w:eastAsia="zh-CN"/>
        </w:rPr>
        <w:t>系统中有很多课程资源、活动、测评功能是需要加入机构后才能够查看或使用的。</w:t>
      </w:r>
      <w:r>
        <w:t>点击导航右侧头像</w:t>
      </w:r>
      <w:r>
        <w:rPr>
          <w:rFonts w:hint="eastAsia"/>
        </w:rPr>
        <w:t>-</w:t>
      </w:r>
      <w:r>
        <w:t>账户与安全</w:t>
      </w:r>
      <w:r>
        <w:rPr>
          <w:rFonts w:hint="eastAsia"/>
        </w:rPr>
        <w:t>，打开账户安全页面，点击【绑定机构】按钮，弹出绑定机构弹窗。</w:t>
      </w:r>
    </w:p>
    <w:p w14:paraId="1D29BC74">
      <w:pPr>
        <w:pStyle w:val="44"/>
        <w:ind w:left="5" w:leftChars="0" w:hanging="5" w:firstLineChars="0"/>
        <w:jc w:val="center"/>
      </w:pPr>
      <w:r>
        <w:drawing>
          <wp:inline distT="0" distB="0" distL="114300" distR="114300">
            <wp:extent cx="5100320" cy="2519680"/>
            <wp:effectExtent l="104775" t="78740" r="109855" b="8763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2"/>
                    <a:stretch>
                      <a:fillRect/>
                    </a:stretch>
                  </pic:blipFill>
                  <pic:spPr>
                    <a:xfrm>
                      <a:off x="0" y="0"/>
                      <a:ext cx="5100320" cy="2519680"/>
                    </a:xfrm>
                    <a:prstGeom prst="rect">
                      <a:avLst/>
                    </a:prstGeom>
                    <a:effectLst>
                      <a:outerShdw blurRad="63500" sx="102000" sy="102000" algn="ctr" rotWithShape="0">
                        <a:prstClr val="black">
                          <a:alpha val="40000"/>
                        </a:prstClr>
                      </a:outerShdw>
                    </a:effectLst>
                  </pic:spPr>
                </pic:pic>
              </a:graphicData>
            </a:graphic>
          </wp:inline>
        </w:drawing>
      </w:r>
    </w:p>
    <w:p w14:paraId="2E0CC0EF">
      <w:pPr>
        <w:pStyle w:val="44"/>
        <w:numPr>
          <w:ilvl w:val="0"/>
          <w:numId w:val="7"/>
        </w:numPr>
        <w:ind w:firstLineChars="0"/>
      </w:pPr>
      <w:r>
        <w:t>依次填写姓名</w:t>
      </w:r>
      <w:r>
        <w:rPr>
          <w:rFonts w:hint="eastAsia"/>
        </w:rPr>
        <w:t>、</w:t>
      </w:r>
      <w:r>
        <w:t>部门科室</w:t>
      </w:r>
      <w:r>
        <w:rPr>
          <w:rFonts w:hint="eastAsia"/>
          <w:lang w:val="en-US" w:eastAsia="zh-CN"/>
        </w:rPr>
        <w:t>/院系专业</w:t>
      </w:r>
      <w:r>
        <w:t>和口令信息进行机构绑定</w:t>
      </w:r>
      <w:r>
        <w:rPr>
          <w:rFonts w:hint="eastAsia"/>
        </w:rPr>
        <w:t>。</w:t>
      </w:r>
    </w:p>
    <w:p w14:paraId="18A4E412">
      <w:pPr>
        <w:pStyle w:val="44"/>
        <w:numPr>
          <w:ilvl w:val="0"/>
          <w:numId w:val="7"/>
        </w:numPr>
        <w:ind w:firstLineChars="0"/>
      </w:pPr>
      <w:r>
        <w:t>姓名</w:t>
      </w:r>
      <w:r>
        <w:rPr>
          <w:rFonts w:hint="eastAsia"/>
        </w:rPr>
        <w:t>、</w:t>
      </w:r>
      <w:r>
        <w:t>部门科室</w:t>
      </w:r>
      <w:r>
        <w:rPr>
          <w:rFonts w:hint="eastAsia"/>
          <w:lang w:val="en-US" w:eastAsia="zh-CN"/>
        </w:rPr>
        <w:t>/院系专业</w:t>
      </w:r>
      <w:r>
        <w:rPr>
          <w:rFonts w:hint="eastAsia"/>
        </w:rPr>
        <w:t>：</w:t>
      </w:r>
      <w:r>
        <w:t>建议填写真实的信息</w:t>
      </w:r>
      <w:r>
        <w:rPr>
          <w:rFonts w:hint="eastAsia"/>
        </w:rPr>
        <w:t>，</w:t>
      </w:r>
      <w:r>
        <w:t>长度不超过</w:t>
      </w:r>
      <w:r>
        <w:rPr>
          <w:rFonts w:hint="eastAsia"/>
        </w:rPr>
        <w:t>2</w:t>
      </w:r>
      <w:r>
        <w:t>0个字符</w:t>
      </w:r>
      <w:r>
        <w:rPr>
          <w:rFonts w:hint="eastAsia"/>
          <w:lang w:eastAsia="zh-CN"/>
        </w:rPr>
        <w:t>，</w:t>
      </w:r>
      <w:r>
        <w:rPr>
          <w:rFonts w:hint="eastAsia"/>
          <w:lang w:val="en-US" w:eastAsia="zh-CN"/>
        </w:rPr>
        <w:t>如填写虚假信息，可能会因身份无法核实而被管理员踢出</w:t>
      </w:r>
      <w:r>
        <w:rPr>
          <w:rFonts w:hint="eastAsia"/>
        </w:rPr>
        <w:t>；</w:t>
      </w:r>
    </w:p>
    <w:p w14:paraId="05BB80BC">
      <w:pPr>
        <w:pStyle w:val="44"/>
        <w:numPr>
          <w:ilvl w:val="0"/>
          <w:numId w:val="7"/>
        </w:numPr>
        <w:ind w:firstLineChars="0"/>
      </w:pPr>
      <w:r>
        <w:t>口令从机构管理员处获取</w:t>
      </w:r>
      <w:r>
        <w:rPr>
          <w:rFonts w:hint="eastAsia"/>
        </w:rPr>
        <w:t>。</w:t>
      </w:r>
      <w:r>
        <w:t>如果绑定失败</w:t>
      </w:r>
      <w:r>
        <w:rPr>
          <w:rFonts w:hint="eastAsia"/>
        </w:rPr>
        <w:t>，</w:t>
      </w:r>
      <w:r>
        <w:t>可能是输入的口令错误或是</w:t>
      </w:r>
      <w:r>
        <w:rPr>
          <w:rFonts w:hint="eastAsia"/>
        </w:rPr>
        <w:t>口令已经失效，请联系管理员重新获取口令进行绑定。</w:t>
      </w:r>
    </w:p>
    <w:p w14:paraId="59868F14">
      <w:pPr>
        <w:pStyle w:val="4"/>
      </w:pPr>
      <w:bookmarkStart w:id="1" w:name="_2.3参加活动"/>
      <w:r>
        <w:t>2.3参加</w:t>
      </w:r>
      <w:r>
        <w:rPr>
          <w:rFonts w:hint="eastAsia"/>
        </w:rPr>
        <w:t>活动</w:t>
      </w:r>
    </w:p>
    <w:bookmarkEnd w:id="1"/>
    <w:p w14:paraId="63302D49">
      <w:pPr>
        <w:ind w:firstLine="480" w:firstLineChars="200"/>
      </w:pPr>
      <w:r>
        <w:t>活动由本机构管理员发布</w:t>
      </w:r>
      <w:r>
        <w:rPr>
          <w:rFonts w:hint="eastAsia"/>
        </w:rPr>
        <w:t>，机构用户可以选择要参加的活动，完成活动要求后会获得相应的活动证书，作为您此阶段学习的凭证。</w:t>
      </w:r>
    </w:p>
    <w:p w14:paraId="64FC9281">
      <w:pPr>
        <w:pStyle w:val="5"/>
      </w:pPr>
      <w:r>
        <w:rPr>
          <w:rFonts w:hint="eastAsia"/>
        </w:rPr>
        <w:t>2</w:t>
      </w:r>
      <w:r>
        <w:t>.3.1 活动报名</w:t>
      </w:r>
    </w:p>
    <w:p w14:paraId="72677078">
      <w:pPr>
        <w:pStyle w:val="44"/>
        <w:numPr>
          <w:ilvl w:val="0"/>
          <w:numId w:val="8"/>
        </w:numPr>
        <w:ind w:left="420" w:leftChars="0" w:hanging="420" w:firstLineChars="0"/>
        <w:rPr>
          <w:rFonts w:hint="default" w:eastAsia="宋体"/>
          <w:lang w:val="en-US" w:eastAsia="zh-CN"/>
        </w:rPr>
      </w:pPr>
      <w:r>
        <w:rPr>
          <w:rFonts w:hint="eastAsia" w:eastAsia="宋体"/>
        </w:rPr>
        <w:t>进入导航【活动】模块，进入活动列表，根据活动时间将管理员发布的活动分为</w:t>
      </w:r>
      <w:r>
        <w:rPr>
          <w:rFonts w:hint="eastAsia"/>
          <w:color w:val="0000FF"/>
        </w:rPr>
        <w:t>未开始、进行中</w:t>
      </w:r>
      <w:r>
        <w:rPr>
          <w:rFonts w:hint="eastAsia"/>
        </w:rPr>
        <w:t>和</w:t>
      </w:r>
      <w:r>
        <w:rPr>
          <w:rFonts w:hint="eastAsia"/>
          <w:color w:val="0000FF"/>
        </w:rPr>
        <w:t>已结束</w:t>
      </w:r>
      <w:r>
        <w:rPr>
          <w:rFonts w:hint="eastAsia"/>
        </w:rPr>
        <w:t>三个状态进行展示，默认展示进行中的活动。</w:t>
      </w:r>
    </w:p>
    <w:p w14:paraId="50E86B38">
      <w:pPr>
        <w:pStyle w:val="44"/>
        <w:numPr>
          <w:ilvl w:val="0"/>
          <w:numId w:val="8"/>
        </w:numPr>
        <w:ind w:left="420" w:leftChars="0" w:hanging="420" w:firstLineChars="0"/>
        <w:rPr>
          <w:rFonts w:hint="default" w:eastAsia="宋体"/>
          <w:lang w:val="en-US" w:eastAsia="zh-CN"/>
        </w:rPr>
      </w:pPr>
      <w:r>
        <w:rPr>
          <w:rFonts w:hint="eastAsia"/>
          <w:lang w:val="en-US" w:eastAsia="zh-CN"/>
        </w:rPr>
        <w:t>在活动界面，可看到每个活动的名称、</w:t>
      </w:r>
      <w:r>
        <w:t>时间</w:t>
      </w:r>
      <w:r>
        <w:rPr>
          <w:rFonts w:hint="eastAsia"/>
        </w:rPr>
        <w:t>、</w:t>
      </w:r>
      <w:r>
        <w:t>活动要求</w:t>
      </w:r>
      <w:r>
        <w:rPr>
          <w:rFonts w:hint="eastAsia"/>
          <w:lang w:eastAsia="zh-CN"/>
        </w:rPr>
        <w:t>，</w:t>
      </w:r>
      <w:r>
        <w:rPr>
          <w:rFonts w:hint="eastAsia"/>
          <w:lang w:val="en-US" w:eastAsia="zh-CN"/>
        </w:rPr>
        <w:t>可根据时间和要求来选择是否报名活动。</w:t>
      </w:r>
    </w:p>
    <w:p w14:paraId="02A5D20A">
      <w:pPr>
        <w:pStyle w:val="44"/>
        <w:numPr>
          <w:ilvl w:val="0"/>
          <w:numId w:val="8"/>
        </w:numPr>
        <w:ind w:left="420" w:leftChars="0" w:hanging="420" w:firstLineChars="0"/>
        <w:rPr>
          <w:rFonts w:hint="eastAsia"/>
        </w:rPr>
      </w:pPr>
      <w:r>
        <w:t>点击</w:t>
      </w:r>
      <w:r>
        <w:rPr>
          <w:rFonts w:hint="eastAsia"/>
        </w:rPr>
        <w:t>【我要报名】按钮，toast提示报名成功后会跳转至活动详情页。</w:t>
      </w:r>
    </w:p>
    <w:p w14:paraId="17A90E80">
      <w:pPr>
        <w:pStyle w:val="44"/>
        <w:numPr>
          <w:ilvl w:val="0"/>
          <w:numId w:val="0"/>
        </w:numPr>
        <w:ind w:left="425" w:leftChars="0"/>
        <w:rPr>
          <w:rFonts w:hint="default" w:eastAsia="宋体"/>
          <w:lang w:val="en-US" w:eastAsia="zh-CN"/>
        </w:rPr>
      </w:pPr>
      <w:r>
        <w:rPr>
          <w:rFonts w:hint="eastAsia"/>
          <w:color w:val="FF0000"/>
          <w:sz w:val="22"/>
          <w:szCs w:val="21"/>
          <w:lang w:val="en-US" w:eastAsia="zh-CN"/>
        </w:rPr>
        <w:t>*注</w:t>
      </w:r>
      <w:r>
        <w:rPr>
          <w:rFonts w:hint="eastAsia"/>
          <w:color w:val="FF0000"/>
          <w:sz w:val="22"/>
          <w:szCs w:val="21"/>
        </w:rPr>
        <w:t>：未开始/已结束状态下的活动无法报名，只有进行中的活动支持报名。</w:t>
      </w:r>
    </w:p>
    <w:p w14:paraId="4858EF32">
      <w:pPr>
        <w:ind w:left="0" w:leftChars="0" w:firstLine="0" w:firstLineChars="0"/>
        <w:jc w:val="both"/>
      </w:pPr>
      <w:r>
        <w:drawing>
          <wp:inline distT="0" distB="0" distL="114300" distR="114300">
            <wp:extent cx="5100955" cy="2152650"/>
            <wp:effectExtent l="104775" t="65405" r="109220" b="774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rcRect l="2134"/>
                    <a:stretch>
                      <a:fillRect/>
                    </a:stretch>
                  </pic:blipFill>
                  <pic:spPr>
                    <a:xfrm>
                      <a:off x="0" y="0"/>
                      <a:ext cx="5100955" cy="2152650"/>
                    </a:xfrm>
                    <a:prstGeom prst="rect">
                      <a:avLst/>
                    </a:prstGeom>
                    <a:effectLst>
                      <a:outerShdw blurRad="63500" sx="102000" sy="102000" algn="ctr" rotWithShape="0">
                        <a:prstClr val="black">
                          <a:alpha val="40000"/>
                        </a:prstClr>
                      </a:outerShdw>
                    </a:effectLst>
                  </pic:spPr>
                </pic:pic>
              </a:graphicData>
            </a:graphic>
          </wp:inline>
        </w:drawing>
      </w:r>
      <w:bookmarkStart w:id="2" w:name="_GoBack"/>
      <w:bookmarkEnd w:id="2"/>
    </w:p>
    <w:p w14:paraId="19DB7B70">
      <w:pPr>
        <w:pStyle w:val="5"/>
      </w:pPr>
      <w:r>
        <w:rPr>
          <w:rFonts w:hint="eastAsia"/>
        </w:rPr>
        <w:t>2</w:t>
      </w:r>
      <w:r>
        <w:t>.3.2查看活动详情</w:t>
      </w:r>
    </w:p>
    <w:p w14:paraId="6D8F1681">
      <w:pPr>
        <w:pStyle w:val="44"/>
        <w:numPr>
          <w:ilvl w:val="0"/>
          <w:numId w:val="8"/>
        </w:numPr>
        <w:ind w:left="420" w:leftChars="0" w:hanging="420" w:firstLineChars="0"/>
      </w:pPr>
      <w:r>
        <w:rPr>
          <w:rFonts w:hint="eastAsia" w:eastAsia="宋体"/>
        </w:rPr>
        <w:t>点击【查看详情】按钮，可以查看活动详情。活动详情页信息包括活动图片、活动名称、活动时间、活动要求和进度信息</w:t>
      </w:r>
      <w:r>
        <w:rPr>
          <w:rFonts w:hint="eastAsia"/>
        </w:rPr>
        <w:t>。</w:t>
      </w:r>
    </w:p>
    <w:p w14:paraId="3C78D43F">
      <w:pPr>
        <w:pStyle w:val="44"/>
        <w:numPr>
          <w:ilvl w:val="0"/>
          <w:numId w:val="9"/>
        </w:numPr>
        <w:ind w:firstLineChars="0"/>
        <w:jc w:val="left"/>
        <w:rPr>
          <w:sz w:val="24"/>
          <w:szCs w:val="24"/>
        </w:rPr>
      </w:pPr>
      <w:r>
        <w:rPr>
          <w:rFonts w:hint="eastAsia"/>
          <w:lang w:val="en-US" w:eastAsia="zh-CN"/>
        </w:rPr>
        <w:t>课程要求：即本次活动想要达标需要学完的课程，点击课程名称可跳转去视频播放页面；点击</w:t>
      </w:r>
      <w:r>
        <w:rPr>
          <w:rFonts w:ascii="微软雅黑" w:hAnsi="微软雅黑" w:eastAsia="微软雅黑" w:cs="微软雅黑"/>
          <w:i w:val="0"/>
          <w:iCs w:val="0"/>
          <w:caps w:val="0"/>
          <w:color w:val="E50000"/>
          <w:spacing w:val="0"/>
          <w:sz w:val="24"/>
          <w:szCs w:val="24"/>
          <w:u w:val="single"/>
          <w:shd w:val="clear" w:fill="FFFFFF"/>
        </w:rPr>
        <w:t>查看课程学习详情</w:t>
      </w:r>
      <w:r>
        <w:rPr>
          <w:rFonts w:hint="eastAsia"/>
          <w:sz w:val="24"/>
          <w:szCs w:val="24"/>
          <w:lang w:val="en-US" w:eastAsia="zh-CN"/>
        </w:rPr>
        <w:t>可弹窗内查看本课程的学习进度</w:t>
      </w:r>
      <w:r>
        <w:rPr>
          <w:rFonts w:hint="eastAsia"/>
          <w:sz w:val="24"/>
          <w:szCs w:val="24"/>
        </w:rPr>
        <w:t>。</w:t>
      </w:r>
    </w:p>
    <w:p w14:paraId="1932D17E">
      <w:pPr>
        <w:pStyle w:val="44"/>
        <w:numPr>
          <w:ilvl w:val="0"/>
          <w:numId w:val="9"/>
        </w:numPr>
        <w:ind w:firstLineChars="0"/>
        <w:jc w:val="left"/>
        <w:rPr>
          <w:sz w:val="24"/>
          <w:szCs w:val="24"/>
        </w:rPr>
      </w:pPr>
      <w:r>
        <w:rPr>
          <w:rFonts w:hint="eastAsia"/>
          <w:sz w:val="24"/>
          <w:szCs w:val="24"/>
        </w:rPr>
        <w:t>测评要求</w:t>
      </w:r>
      <w:r>
        <w:rPr>
          <w:rFonts w:hint="eastAsia"/>
          <w:sz w:val="24"/>
          <w:szCs w:val="24"/>
          <w:lang w:eastAsia="zh-CN"/>
        </w:rPr>
        <w:t>：</w:t>
      </w:r>
      <w:r>
        <w:rPr>
          <w:rFonts w:hint="eastAsia"/>
          <w:lang w:val="en-US" w:eastAsia="zh-CN"/>
        </w:rPr>
        <w:t>即本次活动想要达标需通过的考试测评，测评卡片会展示测评开放的时间、剩余可测评的次数以及过往成绩。点击按钮可以直接进行考试测评。</w:t>
      </w:r>
    </w:p>
    <w:p w14:paraId="6B851E84">
      <w:pPr>
        <w:pStyle w:val="44"/>
        <w:numPr>
          <w:ilvl w:val="0"/>
          <w:numId w:val="9"/>
        </w:numPr>
        <w:ind w:firstLineChars="0"/>
        <w:jc w:val="left"/>
        <w:rPr>
          <w:sz w:val="24"/>
          <w:szCs w:val="24"/>
        </w:rPr>
      </w:pPr>
      <w:r>
        <w:rPr>
          <w:rFonts w:hint="eastAsia"/>
          <w:lang w:val="en-US" w:eastAsia="zh-CN"/>
        </w:rPr>
        <w:t>注：课程与测评均需要在活动期限内完成才有效，如发现课件完成时间不在活动时间范围内，则需要重新学习</w:t>
      </w:r>
    </w:p>
    <w:p w14:paraId="3A0871B2">
      <w:pPr>
        <w:pStyle w:val="44"/>
        <w:numPr>
          <w:ilvl w:val="0"/>
          <w:numId w:val="0"/>
        </w:numPr>
        <w:ind w:leftChars="0"/>
        <w:jc w:val="left"/>
      </w:pPr>
      <w:r>
        <w:drawing>
          <wp:inline distT="0" distB="0" distL="114300" distR="114300">
            <wp:extent cx="5272405" cy="2905760"/>
            <wp:effectExtent l="106045" t="73025" r="107950" b="8826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4"/>
                    <a:stretch>
                      <a:fillRect/>
                    </a:stretch>
                  </pic:blipFill>
                  <pic:spPr>
                    <a:xfrm>
                      <a:off x="0" y="0"/>
                      <a:ext cx="5272405" cy="29057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532508A">
      <w:pPr>
        <w:pStyle w:val="5"/>
      </w:pPr>
      <w:r>
        <w:t>2.3.3生成证书</w:t>
      </w:r>
    </w:p>
    <w:p w14:paraId="663FA0C7">
      <w:pPr>
        <w:ind w:firstLine="480" w:firstLineChars="200"/>
        <w:jc w:val="left"/>
      </w:pPr>
      <w:r>
        <w:t>完成活动要求后</w:t>
      </w:r>
      <w:r>
        <w:rPr>
          <w:rFonts w:hint="eastAsia"/>
        </w:rPr>
        <w:t>即可生成证书。</w:t>
      </w:r>
    </w:p>
    <w:p w14:paraId="7DCA071E">
      <w:pPr>
        <w:pStyle w:val="44"/>
        <w:numPr>
          <w:ilvl w:val="0"/>
          <w:numId w:val="9"/>
        </w:numPr>
        <w:ind w:firstLineChars="0"/>
        <w:jc w:val="left"/>
      </w:pPr>
      <w:r>
        <w:rPr>
          <w:rFonts w:hint="eastAsia"/>
        </w:rPr>
        <w:t>完成课程与测评后，</w:t>
      </w:r>
      <w:r>
        <w:t>点击</w:t>
      </w:r>
      <w:r>
        <w:rPr>
          <w:rFonts w:hint="eastAsia"/>
        </w:rPr>
        <w:t>【生成证书】按钮，确认证书姓名，生成证书</w:t>
      </w:r>
    </w:p>
    <w:p w14:paraId="11625B4B">
      <w:pPr>
        <w:ind w:left="0" w:leftChars="0" w:firstLine="0" w:firstLineChars="0"/>
        <w:jc w:val="center"/>
      </w:pPr>
      <w:r>
        <w:drawing>
          <wp:inline distT="0" distB="0" distL="114300" distR="114300">
            <wp:extent cx="5100955" cy="3307715"/>
            <wp:effectExtent l="104775" t="76835" r="109220" b="920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5"/>
                    <a:stretch>
                      <a:fillRect/>
                    </a:stretch>
                  </pic:blipFill>
                  <pic:spPr>
                    <a:xfrm>
                      <a:off x="0" y="0"/>
                      <a:ext cx="5100955" cy="3307715"/>
                    </a:xfrm>
                    <a:prstGeom prst="rect">
                      <a:avLst/>
                    </a:prstGeom>
                    <a:effectLst>
                      <a:outerShdw blurRad="63500" sx="102000" sy="102000" algn="ctr" rotWithShape="0">
                        <a:prstClr val="black">
                          <a:alpha val="40000"/>
                        </a:prstClr>
                      </a:outerShdw>
                    </a:effectLst>
                  </pic:spPr>
                </pic:pic>
              </a:graphicData>
            </a:graphic>
          </wp:inline>
        </w:drawing>
      </w:r>
    </w:p>
    <w:p w14:paraId="0E10F3CC">
      <w:pPr>
        <w:ind w:left="0" w:leftChars="0" w:firstLine="0" w:firstLineChars="0"/>
        <w:jc w:val="center"/>
      </w:pPr>
      <w:r>
        <w:drawing>
          <wp:inline distT="0" distB="0" distL="114300" distR="114300">
            <wp:extent cx="4364355" cy="3099435"/>
            <wp:effectExtent l="97155" t="74930" r="100965" b="9271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6"/>
                    <a:stretch>
                      <a:fillRect/>
                    </a:stretch>
                  </pic:blipFill>
                  <pic:spPr>
                    <a:xfrm>
                      <a:off x="0" y="0"/>
                      <a:ext cx="4364355" cy="3099435"/>
                    </a:xfrm>
                    <a:prstGeom prst="rect">
                      <a:avLst/>
                    </a:prstGeom>
                    <a:effectLst>
                      <a:outerShdw blurRad="63500" sx="102000" sy="102000" algn="ctr" rotWithShape="0">
                        <a:prstClr val="black">
                          <a:alpha val="40000"/>
                        </a:prstClr>
                      </a:outerShdw>
                    </a:effectLst>
                  </pic:spPr>
                </pic:pic>
              </a:graphicData>
            </a:graphic>
          </wp:inline>
        </w:drawing>
      </w:r>
    </w:p>
    <w:p w14:paraId="10484E00">
      <w:pPr>
        <w:pStyle w:val="4"/>
        <w:rPr>
          <w:rFonts w:hint="eastAsia"/>
          <w:lang w:val="en-US" w:eastAsia="zh-CN"/>
        </w:rPr>
      </w:pPr>
      <w:r>
        <w:rPr>
          <w:rFonts w:hint="eastAsia"/>
        </w:rPr>
        <w:t>2</w:t>
      </w:r>
      <w:r>
        <w:t>.4</w:t>
      </w:r>
      <w:r>
        <w:rPr>
          <w:rFonts w:hint="eastAsia"/>
          <w:lang w:val="en-US" w:eastAsia="zh-CN"/>
        </w:rPr>
        <w:t>直播</w:t>
      </w:r>
    </w:p>
    <w:p w14:paraId="73CC32D5">
      <w:pPr>
        <w:pStyle w:val="44"/>
        <w:rPr>
          <w:rFonts w:hint="eastAsia"/>
          <w:lang w:val="en-US" w:eastAsia="zh-CN"/>
        </w:rPr>
      </w:pPr>
      <w:r>
        <w:rPr>
          <w:rFonts w:hint="eastAsia"/>
        </w:rPr>
        <w:t>万方将协助高校、</w:t>
      </w:r>
      <w:r>
        <w:rPr>
          <w:rFonts w:hint="eastAsia"/>
          <w:lang w:val="en-US" w:eastAsia="zh-CN"/>
        </w:rPr>
        <w:t>科研机构、</w:t>
      </w:r>
      <w:r>
        <w:rPr>
          <w:rFonts w:hint="eastAsia"/>
        </w:rPr>
        <w:t>医疗</w:t>
      </w:r>
      <w:r>
        <w:rPr>
          <w:rFonts w:hint="eastAsia"/>
          <w:lang w:val="en-US" w:eastAsia="zh-CN"/>
        </w:rPr>
        <w:t>卫生机构等</w:t>
      </w:r>
      <w:r>
        <w:rPr>
          <w:rFonts w:hint="eastAsia"/>
        </w:rPr>
        <w:t>共同主办或协办科研诚信与科技伦理的行业交流报告会议及主题培训，</w:t>
      </w:r>
      <w:r>
        <w:rPr>
          <w:rFonts w:hint="eastAsia"/>
          <w:lang w:val="en-US" w:eastAsia="zh-CN"/>
        </w:rPr>
        <w:t>会议将会进行线上直播，供有兴趣的科研人员学术个体观看学习。</w:t>
      </w:r>
    </w:p>
    <w:p w14:paraId="5B781E97">
      <w:pPr>
        <w:pStyle w:val="44"/>
        <w:rPr>
          <w:rFonts w:hint="eastAsia"/>
          <w:lang w:val="en-US" w:eastAsia="zh-CN"/>
        </w:rPr>
      </w:pPr>
      <w:r>
        <w:rPr>
          <w:rFonts w:hint="eastAsia"/>
          <w:lang w:val="en-US" w:eastAsia="zh-CN"/>
        </w:rPr>
        <w:t>会议前，会进行直播预告，直播可预约观看。到直播时间时，即可在查看</w:t>
      </w:r>
      <w:r>
        <w:rPr>
          <w:rFonts w:hint="eastAsia"/>
        </w:rPr>
        <w:t>正在进行直播的会议培训</w:t>
      </w:r>
      <w:r>
        <w:rPr>
          <w:rFonts w:hint="eastAsia"/>
          <w:lang w:eastAsia="zh-CN"/>
        </w:rPr>
        <w:t>。</w:t>
      </w:r>
      <w:r>
        <w:rPr>
          <w:rFonts w:hint="eastAsia"/>
          <w:lang w:val="en-US" w:eastAsia="zh-CN"/>
        </w:rPr>
        <w:t>直播完成后，系统会生成回放。</w:t>
      </w:r>
    </w:p>
    <w:p w14:paraId="7E60DBDF">
      <w:pPr>
        <w:pStyle w:val="44"/>
        <w:rPr>
          <w:rFonts w:hint="eastAsia"/>
          <w:lang w:val="en-US" w:eastAsia="zh-CN"/>
        </w:rPr>
      </w:pPr>
      <w:r>
        <w:rPr>
          <w:rFonts w:hint="eastAsia"/>
          <w:lang w:val="en-US" w:eastAsia="zh-CN"/>
        </w:rPr>
        <w:t>直播非机构采购课程部分，面向所有个人用户。</w:t>
      </w:r>
    </w:p>
    <w:p w14:paraId="3A713DA7">
      <w:pPr>
        <w:pStyle w:val="44"/>
        <w:ind w:left="0" w:leftChars="0" w:firstLine="0" w:firstLineChars="0"/>
        <w:rPr>
          <w:rFonts w:hint="default"/>
          <w:lang w:val="en-US" w:eastAsia="zh-CN"/>
        </w:rPr>
      </w:pPr>
      <w:r>
        <w:drawing>
          <wp:inline distT="0" distB="0" distL="114300" distR="114300">
            <wp:extent cx="5039995" cy="2878455"/>
            <wp:effectExtent l="104140" t="73025" r="104140" b="8699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7"/>
                    <a:stretch>
                      <a:fillRect/>
                    </a:stretch>
                  </pic:blipFill>
                  <pic:spPr>
                    <a:xfrm>
                      <a:off x="0" y="0"/>
                      <a:ext cx="5039995" cy="287845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022C472">
      <w:pPr>
        <w:pStyle w:val="4"/>
      </w:pPr>
      <w:r>
        <w:rPr>
          <w:rFonts w:hint="eastAsia"/>
          <w:lang w:val="en-US" w:eastAsia="zh-CN"/>
        </w:rPr>
        <w:t>2.5</w:t>
      </w:r>
      <w:r>
        <w:t>课程学习</w:t>
      </w:r>
    </w:p>
    <w:p w14:paraId="1D967863">
      <w:pPr>
        <w:ind w:left="0" w:leftChars="0" w:firstLine="420" w:firstLineChars="0"/>
        <w:rPr>
          <w:rFonts w:hint="eastAsia"/>
          <w:lang w:val="en-US" w:eastAsia="zh-CN"/>
        </w:rPr>
      </w:pPr>
      <w:r>
        <w:rPr>
          <w:rFonts w:hint="eastAsia"/>
          <w:lang w:val="en-US" w:eastAsia="zh-CN"/>
        </w:rPr>
        <w:t>课程学习包括</w:t>
      </w:r>
      <w:r>
        <w:rPr>
          <w:rFonts w:hint="eastAsia"/>
          <w:b/>
          <w:bCs/>
          <w:lang w:val="en-US" w:eastAsia="zh-CN"/>
        </w:rPr>
        <w:t>名师讲堂</w:t>
      </w:r>
      <w:r>
        <w:rPr>
          <w:rFonts w:hint="eastAsia"/>
          <w:b/>
          <w:bCs/>
        </w:rPr>
        <w:t>、</w:t>
      </w:r>
      <w:r>
        <w:rPr>
          <w:rFonts w:hint="eastAsia"/>
          <w:b/>
          <w:bCs/>
          <w:lang w:val="en-US" w:eastAsia="zh-CN"/>
        </w:rPr>
        <w:t>精品课程、公益讲座</w:t>
      </w:r>
      <w:r>
        <w:rPr>
          <w:rFonts w:hint="eastAsia"/>
          <w:lang w:val="en-US" w:eastAsia="zh-CN"/>
        </w:rPr>
        <w:t>。名师讲堂及精品课程目前仅面向机构客户开放，个人用户需绑定机构后，可以进行学习；公益讲座面向所有注册用户，无需绑定也可学习。</w:t>
      </w:r>
    </w:p>
    <w:p w14:paraId="151F2415">
      <w:pPr>
        <w:numPr>
          <w:ilvl w:val="0"/>
          <w:numId w:val="0"/>
        </w:numPr>
        <w:ind w:left="0" w:leftChars="0" w:firstLine="420" w:firstLineChars="0"/>
        <w:rPr>
          <w:rFonts w:hint="eastAsia" w:ascii="宋体" w:hAnsi="宋体"/>
          <w:bCs/>
          <w:szCs w:val="24"/>
          <w:lang w:val="en-US" w:eastAsia="zh-CN"/>
        </w:rPr>
      </w:pPr>
      <w:r>
        <w:rPr>
          <w:rFonts w:hint="eastAsia" w:ascii="宋体" w:hAnsi="宋体"/>
          <w:bCs/>
          <w:szCs w:val="24"/>
          <w:lang w:val="en-US" w:eastAsia="zh-CN"/>
        </w:rPr>
        <w:t>名师讲堂是依托领域专家，根据不同主题话题进行科研诚信、学术规范、科研伦理、学术评价等知识讲解，</w:t>
      </w:r>
      <w:r>
        <w:rPr>
          <w:rFonts w:hint="eastAsia"/>
          <w:lang w:val="en-US" w:eastAsia="zh-CN"/>
        </w:rPr>
        <w:t>涵盖政策解读、论文写作规范、科研成果发表、科研诚信建设研究、科技伦理中的伦理审查、信息伦理、生态伦理等方面</w:t>
      </w:r>
      <w:r>
        <w:rPr>
          <w:rFonts w:hint="eastAsia" w:ascii="宋体" w:hAnsi="宋体"/>
          <w:bCs/>
          <w:szCs w:val="24"/>
          <w:lang w:val="en-US" w:eastAsia="zh-CN"/>
        </w:rPr>
        <w:t>。</w:t>
      </w:r>
    </w:p>
    <w:p w14:paraId="039A364A">
      <w:pPr>
        <w:numPr>
          <w:ilvl w:val="0"/>
          <w:numId w:val="0"/>
        </w:numPr>
        <w:jc w:val="left"/>
        <w:rPr>
          <w:rFonts w:hint="eastAsia" w:ascii="宋体" w:hAnsi="宋体"/>
          <w:bCs/>
          <w:szCs w:val="24"/>
          <w:lang w:val="en-US" w:eastAsia="zh-CN"/>
        </w:rPr>
      </w:pPr>
      <w:r>
        <w:drawing>
          <wp:inline distT="0" distB="0" distL="114300" distR="114300">
            <wp:extent cx="5264785" cy="2535555"/>
            <wp:effectExtent l="15875" t="0" r="72390" b="7747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8"/>
                    <a:stretch>
                      <a:fillRect/>
                    </a:stretch>
                  </pic:blipFill>
                  <pic:spPr>
                    <a:xfrm>
                      <a:off x="0" y="0"/>
                      <a:ext cx="5264785" cy="253555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4D8431E">
      <w:pPr>
        <w:numPr>
          <w:ilvl w:val="0"/>
          <w:numId w:val="0"/>
        </w:numPr>
        <w:ind w:left="0" w:leftChars="0" w:firstLine="420" w:firstLineChars="0"/>
        <w:rPr>
          <w:rFonts w:hint="eastAsia" w:ascii="宋体" w:hAnsi="宋体"/>
          <w:bCs/>
          <w:szCs w:val="24"/>
        </w:rPr>
      </w:pPr>
      <w:r>
        <w:rPr>
          <w:rFonts w:hint="eastAsia" w:ascii="宋体" w:hAnsi="宋体"/>
          <w:bCs/>
          <w:szCs w:val="24"/>
          <w:lang w:val="en-US" w:eastAsia="zh-CN"/>
        </w:rPr>
        <w:t>精品课程：和教师团队合作，以体系化课程大纲为依托，组织科研诚信、学术规范、科技伦理方面课程，面向本科生、研究生、科研人员进行学习培训。</w:t>
      </w:r>
    </w:p>
    <w:p w14:paraId="11A555F8">
      <w:r>
        <w:drawing>
          <wp:inline distT="0" distB="0" distL="114300" distR="114300">
            <wp:extent cx="5269865" cy="2880360"/>
            <wp:effectExtent l="15875" t="0" r="76835" b="755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5269865" cy="288036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891533C">
      <w:pPr>
        <w:ind w:firstLine="420" w:firstLineChars="0"/>
        <w:rPr>
          <w:rFonts w:hint="eastAsia"/>
          <w:lang w:val="en-US" w:eastAsia="zh-CN"/>
        </w:rPr>
      </w:pPr>
      <w:r>
        <w:rPr>
          <w:rFonts w:hint="eastAsia"/>
          <w:lang w:val="en-US" w:eastAsia="zh-CN"/>
        </w:rPr>
        <w:t>公益讲座：协同育人项目成果展示及行业会议报告。</w:t>
      </w:r>
    </w:p>
    <w:p w14:paraId="7384F197">
      <w:pPr>
        <w:rPr>
          <w:rFonts w:hint="default"/>
          <w:lang w:val="en-US" w:eastAsia="zh-CN"/>
        </w:rPr>
      </w:pPr>
      <w:r>
        <w:drawing>
          <wp:inline distT="0" distB="0" distL="114300" distR="114300">
            <wp:extent cx="5264785" cy="2851785"/>
            <wp:effectExtent l="15875" t="0" r="72390" b="755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0"/>
                    <a:stretch>
                      <a:fillRect/>
                    </a:stretch>
                  </pic:blipFill>
                  <pic:spPr>
                    <a:xfrm>
                      <a:off x="0" y="0"/>
                      <a:ext cx="5264785" cy="28517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0DB9F35">
      <w:pPr>
        <w:jc w:val="left"/>
      </w:pPr>
    </w:p>
    <w:p w14:paraId="16D094A4">
      <w:pPr>
        <w:numPr>
          <w:ilvl w:val="0"/>
          <w:numId w:val="10"/>
        </w:numPr>
        <w:ind w:left="420" w:leftChars="0" w:hanging="420" w:firstLineChars="0"/>
        <w:jc w:val="left"/>
        <w:rPr>
          <w:rFonts w:hint="eastAsia"/>
        </w:rPr>
      </w:pPr>
      <w:r>
        <w:rPr>
          <w:rFonts w:hint="eastAsia"/>
          <w:lang w:val="en-US" w:eastAsia="zh-CN"/>
        </w:rPr>
        <w:t>课程介绍页可看到课程及讲师的信息介绍；</w:t>
      </w:r>
    </w:p>
    <w:p w14:paraId="317C4351">
      <w:pPr>
        <w:numPr>
          <w:ilvl w:val="0"/>
          <w:numId w:val="10"/>
        </w:numPr>
        <w:ind w:left="420" w:leftChars="0" w:hanging="420" w:firstLineChars="0"/>
        <w:jc w:val="left"/>
        <w:rPr>
          <w:rFonts w:hint="eastAsia"/>
        </w:rPr>
      </w:pPr>
      <w:r>
        <w:rPr>
          <w:rFonts w:hint="eastAsia"/>
          <w:lang w:val="en-US" w:eastAsia="zh-CN"/>
        </w:rPr>
        <w:t>点击【立即学习】按钮可进入视频播放页，从第一节开始学习；</w:t>
      </w:r>
    </w:p>
    <w:p w14:paraId="3F974F4B">
      <w:pPr>
        <w:numPr>
          <w:ilvl w:val="0"/>
          <w:numId w:val="10"/>
        </w:numPr>
        <w:ind w:left="420" w:leftChars="0" w:hanging="420" w:firstLineChars="0"/>
        <w:jc w:val="left"/>
        <w:rPr>
          <w:rFonts w:hint="eastAsia"/>
        </w:rPr>
      </w:pPr>
      <w:r>
        <w:rPr>
          <w:rFonts w:hint="eastAsia"/>
          <w:lang w:val="en-US" w:eastAsia="zh-CN"/>
        </w:rPr>
        <w:t>课程完成要求：</w:t>
      </w:r>
    </w:p>
    <w:p w14:paraId="7E0CA5DE">
      <w:pPr>
        <w:numPr>
          <w:ilvl w:val="1"/>
          <w:numId w:val="10"/>
        </w:numPr>
        <w:ind w:left="840" w:leftChars="0" w:hanging="420" w:firstLineChars="0"/>
        <w:jc w:val="left"/>
        <w:rPr>
          <w:rFonts w:hint="eastAsia"/>
          <w:color w:val="FF0000"/>
        </w:rPr>
      </w:pPr>
      <w:r>
        <w:rPr>
          <w:rFonts w:hint="eastAsia"/>
          <w:color w:val="FF0000"/>
          <w:lang w:val="en-US" w:eastAsia="zh-CN"/>
        </w:rPr>
        <w:t>每个视频学习时长达到视频时长90%，且播放进度达到90%，则系统判定该视频学完</w:t>
      </w:r>
    </w:p>
    <w:p w14:paraId="6B794299">
      <w:pPr>
        <w:numPr>
          <w:ilvl w:val="1"/>
          <w:numId w:val="10"/>
        </w:numPr>
        <w:ind w:left="840" w:leftChars="0" w:hanging="420" w:firstLineChars="0"/>
        <w:jc w:val="left"/>
        <w:rPr>
          <w:rFonts w:hint="eastAsia"/>
        </w:rPr>
      </w:pPr>
      <w:r>
        <w:rPr>
          <w:rFonts w:hint="eastAsia"/>
          <w:lang w:val="en-US" w:eastAsia="zh-CN"/>
        </w:rPr>
        <w:t>课程里的每个视频都达到学习完成要求，则系统判定该课程学习完成。</w:t>
      </w:r>
    </w:p>
    <w:p w14:paraId="066F9392">
      <w:pPr>
        <w:pStyle w:val="4"/>
      </w:pPr>
      <w:r>
        <w:rPr>
          <w:rFonts w:hint="eastAsia"/>
        </w:rPr>
        <w:t>2</w:t>
      </w:r>
      <w:r>
        <w:t>.</w:t>
      </w:r>
      <w:r>
        <w:rPr>
          <w:rFonts w:hint="eastAsia"/>
          <w:lang w:val="en-US" w:eastAsia="zh-CN"/>
        </w:rPr>
        <w:t>6</w:t>
      </w:r>
      <w:r>
        <w:rPr>
          <w:rFonts w:hint="eastAsia"/>
        </w:rPr>
        <w:t>测评</w:t>
      </w:r>
    </w:p>
    <w:p w14:paraId="6523075A">
      <w:pPr>
        <w:ind w:firstLine="420"/>
        <w:rPr>
          <w:rFonts w:hint="eastAsia"/>
          <w:color w:val="0070C0"/>
        </w:rPr>
      </w:pPr>
      <w:r>
        <w:rPr>
          <w:rFonts w:hint="eastAsia"/>
        </w:rPr>
        <w:t>系统支持在线进行考试测评，个人用户加入机构后，如该机构管理员使用管理端发布测评项目，则用户可在学习端看到对应的测评项目，在测评开放时间段内查看测评要求，进行线上测评考试，查看考试结果。测评步骤为：</w:t>
      </w:r>
      <w:r>
        <w:rPr>
          <w:rFonts w:hint="eastAsia" w:ascii="宋体" w:hAnsi="宋体" w:cs="宋体"/>
          <w:color w:val="0070C0"/>
        </w:rPr>
        <w:t>1</w:t>
      </w:r>
      <w:r>
        <w:rPr>
          <w:rFonts w:ascii="宋体" w:hAnsi="宋体" w:cs="宋体"/>
          <w:color w:val="0070C0"/>
        </w:rPr>
        <w:t>.</w:t>
      </w:r>
      <w:r>
        <w:rPr>
          <w:rFonts w:hint="eastAsia"/>
          <w:color w:val="0070C0"/>
        </w:rPr>
        <w:t>选择待测评项目；</w:t>
      </w:r>
      <w:r>
        <w:rPr>
          <w:rFonts w:hint="eastAsia" w:ascii="宋体" w:hAnsi="宋体" w:cs="宋体"/>
          <w:color w:val="0070C0"/>
        </w:rPr>
        <w:t>2</w:t>
      </w:r>
      <w:r>
        <w:rPr>
          <w:rFonts w:ascii="宋体" w:hAnsi="宋体" w:cs="宋体"/>
          <w:color w:val="0070C0"/>
        </w:rPr>
        <w:t>.</w:t>
      </w:r>
      <w:r>
        <w:rPr>
          <w:rFonts w:hint="eastAsia"/>
          <w:color w:val="0070C0"/>
        </w:rPr>
        <w:t>阅读测评要求；</w:t>
      </w:r>
      <w:r>
        <w:rPr>
          <w:rFonts w:hint="eastAsia" w:ascii="宋体" w:hAnsi="宋体" w:cs="宋体"/>
          <w:color w:val="0070C0"/>
        </w:rPr>
        <w:t>3</w:t>
      </w:r>
      <w:r>
        <w:rPr>
          <w:rFonts w:ascii="宋体" w:hAnsi="宋体" w:cs="宋体"/>
          <w:color w:val="0070C0"/>
        </w:rPr>
        <w:t>.</w:t>
      </w:r>
      <w:r>
        <w:rPr>
          <w:rFonts w:hint="eastAsia" w:ascii="宋体" w:hAnsi="宋体" w:cs="宋体"/>
          <w:color w:val="0070C0"/>
        </w:rPr>
        <w:t>在线答题</w:t>
      </w:r>
      <w:r>
        <w:rPr>
          <w:rFonts w:hint="eastAsia"/>
          <w:color w:val="0070C0"/>
        </w:rPr>
        <w:t>；</w:t>
      </w:r>
      <w:r>
        <w:rPr>
          <w:rFonts w:hint="eastAsia" w:ascii="宋体" w:hAnsi="宋体" w:cs="宋体"/>
          <w:color w:val="0070C0"/>
        </w:rPr>
        <w:t>4</w:t>
      </w:r>
      <w:r>
        <w:rPr>
          <w:rFonts w:ascii="宋体" w:hAnsi="宋体" w:cs="宋体"/>
          <w:color w:val="0070C0"/>
        </w:rPr>
        <w:t>.</w:t>
      </w:r>
      <w:r>
        <w:rPr>
          <w:rFonts w:hint="eastAsia"/>
          <w:color w:val="0070C0"/>
        </w:rPr>
        <w:t>提交试卷</w:t>
      </w:r>
    </w:p>
    <w:p w14:paraId="588FFC44">
      <w:pPr>
        <w:pStyle w:val="44"/>
        <w:numPr>
          <w:ilvl w:val="0"/>
          <w:numId w:val="0"/>
        </w:numPr>
        <w:ind w:leftChars="0"/>
      </w:pPr>
      <w:r>
        <w:rPr>
          <w:rFonts w:hint="eastAsia"/>
          <w:lang w:eastAsia="zh-CN"/>
        </w:rPr>
        <w:t>（</w:t>
      </w:r>
      <w:r>
        <w:rPr>
          <w:rFonts w:hint="eastAsia"/>
          <w:lang w:val="en-US" w:eastAsia="zh-CN"/>
        </w:rPr>
        <w:t>1</w:t>
      </w:r>
      <w:r>
        <w:rPr>
          <w:rFonts w:hint="eastAsia"/>
          <w:lang w:eastAsia="zh-CN"/>
        </w:rPr>
        <w:t>）</w:t>
      </w:r>
      <w:r>
        <w:rPr>
          <w:rFonts w:hint="eastAsia"/>
        </w:rPr>
        <w:t>选择测评项目：测评中心可展示管理员发布的在线测评项目，以供学习用户选择。见下图:</w:t>
      </w:r>
    </w:p>
    <w:p w14:paraId="68348EB1">
      <w:r>
        <w:drawing>
          <wp:inline distT="0" distB="0" distL="114300" distR="114300">
            <wp:extent cx="5264150" cy="2241550"/>
            <wp:effectExtent l="15875" t="0" r="73025" b="762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a:srcRect t="11262"/>
                    <a:stretch>
                      <a:fillRect/>
                    </a:stretch>
                  </pic:blipFill>
                  <pic:spPr>
                    <a:xfrm>
                      <a:off x="0" y="0"/>
                      <a:ext cx="5264150" cy="22415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E0F9106">
      <w:pPr>
        <w:numPr>
          <w:ilvl w:val="0"/>
          <w:numId w:val="11"/>
        </w:numPr>
      </w:pPr>
      <w:r>
        <w:rPr>
          <w:rFonts w:hint="eastAsia"/>
        </w:rPr>
        <w:t>测评卡片：每个测评项目为一张卡片，展示测评名称、测评开放时间、测评次数</w:t>
      </w:r>
    </w:p>
    <w:p w14:paraId="420A2A20">
      <w:pPr>
        <w:numPr>
          <w:ilvl w:val="0"/>
          <w:numId w:val="11"/>
        </w:numPr>
      </w:pPr>
      <w:r>
        <w:rPr>
          <w:rFonts w:hint="eastAsia"/>
        </w:rPr>
        <w:t>成绩：如某项测评有多次测评机会，则测评后，会有【查看成绩】按钮，点击可跳转至此测评项目所有的成绩记录，生成证书（证书类型为成绩单）时，系统会将历次测评最高成绩作为最终成绩展示在成绩单上。</w:t>
      </w:r>
    </w:p>
    <w:p w14:paraId="538D755D">
      <w:pPr>
        <w:pStyle w:val="44"/>
        <w:numPr>
          <w:ilvl w:val="0"/>
          <w:numId w:val="0"/>
        </w:numPr>
        <w:ind w:leftChars="0"/>
      </w:pPr>
      <w:r>
        <w:rPr>
          <w:rFonts w:hint="eastAsia"/>
          <w:lang w:eastAsia="zh-CN"/>
        </w:rPr>
        <w:t>（</w:t>
      </w:r>
      <w:r>
        <w:rPr>
          <w:rFonts w:hint="eastAsia"/>
          <w:lang w:val="en-US" w:eastAsia="zh-CN"/>
        </w:rPr>
        <w:t>2</w:t>
      </w:r>
      <w:r>
        <w:rPr>
          <w:rFonts w:hint="eastAsia"/>
          <w:lang w:eastAsia="zh-CN"/>
        </w:rPr>
        <w:t>）</w:t>
      </w:r>
      <w:r>
        <w:rPr>
          <w:rFonts w:hint="eastAsia"/>
        </w:rPr>
        <w:t>阅读测评要求：即了解当前测评的名称、题目数量、总分、测评时长、测评开放时间等。</w:t>
      </w:r>
    </w:p>
    <w:p w14:paraId="5BA1DE80">
      <w:pPr>
        <w:jc w:val="center"/>
      </w:pPr>
    </w:p>
    <w:p w14:paraId="588A343C">
      <w:pPr>
        <w:jc w:val="center"/>
      </w:pPr>
      <w:r>
        <w:drawing>
          <wp:inline distT="0" distB="0" distL="114300" distR="114300">
            <wp:extent cx="5039995" cy="2891155"/>
            <wp:effectExtent l="104140" t="73025" r="104140" b="8382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2"/>
                    <a:srcRect b="30586"/>
                    <a:stretch>
                      <a:fillRect/>
                    </a:stretch>
                  </pic:blipFill>
                  <pic:spPr>
                    <a:xfrm>
                      <a:off x="0" y="0"/>
                      <a:ext cx="5039995" cy="289115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7308B50">
      <w:pPr>
        <w:pStyle w:val="44"/>
        <w:numPr>
          <w:ilvl w:val="0"/>
          <w:numId w:val="0"/>
        </w:numPr>
        <w:ind w:leftChars="0"/>
      </w:pPr>
      <w:r>
        <w:rPr>
          <w:rFonts w:hint="eastAsia"/>
          <w:lang w:eastAsia="zh-CN"/>
        </w:rPr>
        <w:t>（</w:t>
      </w:r>
      <w:r>
        <w:rPr>
          <w:rFonts w:hint="eastAsia"/>
          <w:lang w:val="en-US" w:eastAsia="zh-CN"/>
        </w:rPr>
        <w:t>3</w:t>
      </w:r>
      <w:r>
        <w:rPr>
          <w:rFonts w:hint="eastAsia"/>
          <w:lang w:eastAsia="zh-CN"/>
        </w:rPr>
        <w:t>）</w:t>
      </w:r>
      <w:r>
        <w:rPr>
          <w:rFonts w:hint="eastAsia"/>
        </w:rPr>
        <w:t>在线答题：点击【开始测评】按钮，进入答题界面，右侧展示剩余时长、答题进度等。</w:t>
      </w:r>
    </w:p>
    <w:p w14:paraId="7C399A74">
      <w:r>
        <w:drawing>
          <wp:inline distT="0" distB="0" distL="114300" distR="114300">
            <wp:extent cx="5039995" cy="2770505"/>
            <wp:effectExtent l="104140" t="71755" r="104140" b="8191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3"/>
                    <a:srcRect b="31836"/>
                    <a:stretch>
                      <a:fillRect/>
                    </a:stretch>
                  </pic:blipFill>
                  <pic:spPr>
                    <a:xfrm>
                      <a:off x="0" y="0"/>
                      <a:ext cx="5039995" cy="277050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59F6B25">
      <w:pPr>
        <w:pStyle w:val="44"/>
        <w:numPr>
          <w:ilvl w:val="0"/>
          <w:numId w:val="0"/>
        </w:numPr>
        <w:ind w:leftChars="0"/>
      </w:pPr>
      <w:r>
        <w:rPr>
          <w:rFonts w:hint="eastAsia"/>
          <w:lang w:eastAsia="zh-CN"/>
        </w:rPr>
        <w:t>（</w:t>
      </w:r>
      <w:r>
        <w:rPr>
          <w:rFonts w:hint="eastAsia"/>
          <w:lang w:val="en-US" w:eastAsia="zh-CN"/>
        </w:rPr>
        <w:t>4）</w:t>
      </w:r>
      <w:r>
        <w:rPr>
          <w:rFonts w:hint="eastAsia"/>
        </w:rPr>
        <w:t>提交：答题完毕后点击【我要交卷】按钮，提交试卷，系统将自动判卷并展示本次测评成绩，见下图。</w:t>
      </w:r>
    </w:p>
    <w:p w14:paraId="0C9ED4ED">
      <w:r>
        <w:drawing>
          <wp:inline distT="0" distB="0" distL="114300" distR="114300">
            <wp:extent cx="5269230" cy="2131695"/>
            <wp:effectExtent l="0" t="0" r="7620" b="190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4"/>
                    <a:stretch>
                      <a:fillRect/>
                    </a:stretch>
                  </pic:blipFill>
                  <pic:spPr>
                    <a:xfrm>
                      <a:off x="0" y="0"/>
                      <a:ext cx="5269230" cy="2131695"/>
                    </a:xfrm>
                    <a:prstGeom prst="rect">
                      <a:avLst/>
                    </a:prstGeom>
                    <a:noFill/>
                    <a:ln>
                      <a:noFill/>
                    </a:ln>
                  </pic:spPr>
                </pic:pic>
              </a:graphicData>
            </a:graphic>
          </wp:inline>
        </w:drawing>
      </w:r>
    </w:p>
    <w:p w14:paraId="2815E356">
      <w:pPr>
        <w:pStyle w:val="44"/>
        <w:numPr>
          <w:ilvl w:val="0"/>
          <w:numId w:val="12"/>
        </w:numPr>
        <w:ind w:firstLineChars="0"/>
        <w:jc w:val="left"/>
      </w:pPr>
      <w:r>
        <w:rPr>
          <w:rFonts w:hint="eastAsia"/>
          <w:lang w:val="en-US" w:eastAsia="zh-CN"/>
        </w:rPr>
        <w:t>点击查看答题分析，可查看自己的错题及答案解析</w:t>
      </w:r>
      <w:r>
        <w:rPr>
          <w:rFonts w:hint="eastAsia"/>
        </w:rPr>
        <w:t>。</w:t>
      </w:r>
    </w:p>
    <w:p w14:paraId="21B509D6">
      <w:pPr>
        <w:pStyle w:val="4"/>
      </w:pPr>
      <w:r>
        <w:rPr>
          <w:rFonts w:hint="eastAsia"/>
        </w:rPr>
        <w:t>2</w:t>
      </w:r>
      <w:r>
        <w:t>.</w:t>
      </w:r>
      <w:r>
        <w:rPr>
          <w:rFonts w:hint="eastAsia"/>
          <w:lang w:val="en-US" w:eastAsia="zh-CN"/>
        </w:rPr>
        <w:t>7</w:t>
      </w:r>
      <w:r>
        <w:t xml:space="preserve"> 资源</w:t>
      </w:r>
    </w:p>
    <w:p w14:paraId="60EFBCB3">
      <w:pPr>
        <w:ind w:firstLine="480" w:firstLineChars="200"/>
        <w:jc w:val="left"/>
      </w:pPr>
      <w:r>
        <w:t>作为补充和拓展学习的资料</w:t>
      </w:r>
      <w:r>
        <w:rPr>
          <w:rFonts w:hint="eastAsia"/>
        </w:rPr>
        <w:t>，</w:t>
      </w:r>
      <w:r>
        <w:t>包括政策法规</w:t>
      </w:r>
      <w:r>
        <w:rPr>
          <w:rFonts w:hint="eastAsia"/>
        </w:rPr>
        <w:t>、</w:t>
      </w:r>
      <w:r>
        <w:t>行业规范和</w:t>
      </w:r>
      <w:r>
        <w:rPr>
          <w:rFonts w:hint="eastAsia"/>
          <w:lang w:val="en-US" w:eastAsia="zh-CN"/>
        </w:rPr>
        <w:t>失信</w:t>
      </w:r>
      <w:r>
        <w:t>案例三种类型</w:t>
      </w:r>
      <w:r>
        <w:rPr>
          <w:rFonts w:hint="eastAsia"/>
        </w:rPr>
        <w:t>。可通过导航或首页相应模块进入资源列表页。</w:t>
      </w:r>
    </w:p>
    <w:p w14:paraId="1C4B5B67">
      <w:pPr>
        <w:ind w:left="0" w:leftChars="0" w:firstLine="0" w:firstLineChars="0"/>
        <w:jc w:val="left"/>
        <w:rPr>
          <w:rFonts w:hint="eastAsia"/>
        </w:rPr>
      </w:pPr>
      <w:r>
        <w:drawing>
          <wp:inline distT="0" distB="0" distL="114300" distR="114300">
            <wp:extent cx="5257800" cy="2653665"/>
            <wp:effectExtent l="0" t="0" r="0"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5"/>
                    <a:srcRect b="31971"/>
                    <a:stretch>
                      <a:fillRect/>
                    </a:stretch>
                  </pic:blipFill>
                  <pic:spPr>
                    <a:xfrm>
                      <a:off x="0" y="0"/>
                      <a:ext cx="5257800" cy="2653665"/>
                    </a:xfrm>
                    <a:prstGeom prst="rect">
                      <a:avLst/>
                    </a:prstGeom>
                    <a:noFill/>
                    <a:ln>
                      <a:noFill/>
                    </a:ln>
                  </pic:spPr>
                </pic:pic>
              </a:graphicData>
            </a:graphic>
          </wp:inline>
        </w:drawing>
      </w:r>
    </w:p>
    <w:p w14:paraId="031D1AB4">
      <w:pPr>
        <w:pStyle w:val="5"/>
        <w:bidi w:val="0"/>
      </w:pPr>
      <w:r>
        <w:rPr>
          <w:rFonts w:hint="eastAsia"/>
          <w:lang w:val="en-US" w:eastAsia="zh-CN"/>
        </w:rPr>
        <w:t>2.6.1</w:t>
      </w:r>
      <w:r>
        <w:t>政策法规</w:t>
      </w:r>
    </w:p>
    <w:p w14:paraId="0E57CD53">
      <w:pPr>
        <w:pStyle w:val="44"/>
        <w:numPr>
          <w:ilvl w:val="0"/>
          <w:numId w:val="0"/>
        </w:numPr>
        <w:ind w:leftChars="0" w:firstLine="420" w:firstLineChars="0"/>
      </w:pPr>
      <w:r>
        <w:rPr>
          <w:rFonts w:hint="eastAsia"/>
        </w:rPr>
        <w:t>以政策包的形式展示与科研诚信、学风建设、科研项目管理相关的重要政策。政策包分类如下：</w:t>
      </w:r>
    </w:p>
    <w:p w14:paraId="20EAA9F5">
      <w:pPr>
        <w:pStyle w:val="44"/>
        <w:numPr>
          <w:ilvl w:val="0"/>
          <w:numId w:val="13"/>
        </w:numPr>
        <w:ind w:firstLineChars="0"/>
      </w:pPr>
      <w:r>
        <w:rPr>
          <w:rFonts w:hint="eastAsia"/>
        </w:rPr>
        <w:t>按专题分类:</w:t>
      </w:r>
      <w:r>
        <w:rPr>
          <w:rFonts w:hint="eastAsia"/>
          <w:lang w:val="en-US" w:eastAsia="zh-CN"/>
        </w:rPr>
        <w:t>从某个专题维度组织政策血细胞，目前包括</w:t>
      </w:r>
      <w:r>
        <w:rPr>
          <w:rFonts w:hint="eastAsia"/>
        </w:rPr>
        <w:t>科研诚信核心政</w:t>
      </w:r>
      <w:r>
        <w:t>策文件</w:t>
      </w:r>
      <w:r>
        <w:rPr>
          <w:rFonts w:hint="eastAsia"/>
        </w:rPr>
        <w:t>、</w:t>
      </w:r>
      <w:r>
        <w:t>医学科研诚信和作风学风建设</w:t>
      </w:r>
      <w:r>
        <w:rPr>
          <w:rFonts w:hint="eastAsia"/>
        </w:rPr>
        <w:t>、</w:t>
      </w:r>
      <w:r>
        <w:t>国家科研经费管理政策文件</w:t>
      </w:r>
    </w:p>
    <w:p w14:paraId="0B686533">
      <w:pPr>
        <w:pStyle w:val="44"/>
        <w:numPr>
          <w:ilvl w:val="0"/>
          <w:numId w:val="13"/>
        </w:numPr>
        <w:ind w:firstLineChars="0"/>
        <w:rPr>
          <w:rFonts w:hint="eastAsia"/>
        </w:rPr>
      </w:pPr>
      <w:r>
        <w:rPr>
          <w:rFonts w:hint="eastAsia"/>
        </w:rPr>
        <w:t>按发布机构分类：中央政策文件、科技部发布、教育部发文</w:t>
      </w:r>
    </w:p>
    <w:p w14:paraId="06987FEF">
      <w:pPr>
        <w:pStyle w:val="5"/>
        <w:bidi w:val="0"/>
        <w:rPr>
          <w:rFonts w:hint="eastAsia"/>
          <w:lang w:val="en-US" w:eastAsia="zh-CN"/>
        </w:rPr>
      </w:pPr>
      <w:r>
        <w:rPr>
          <w:rFonts w:hint="eastAsia"/>
          <w:lang w:val="en-US" w:eastAsia="zh-CN"/>
        </w:rPr>
        <w:t>2.6.2行业规范</w:t>
      </w:r>
    </w:p>
    <w:p w14:paraId="7E816EBC">
      <w:pPr>
        <w:pStyle w:val="44"/>
        <w:numPr>
          <w:ilvl w:val="0"/>
          <w:numId w:val="0"/>
        </w:numPr>
        <w:ind w:firstLine="420" w:firstLineChars="0"/>
      </w:pPr>
      <w:r>
        <w:t>展示重要协会如中国科学技术协会</w:t>
      </w:r>
      <w:r>
        <w:rPr>
          <w:rFonts w:hint="eastAsia"/>
        </w:rPr>
        <w:t>、</w:t>
      </w:r>
      <w:r>
        <w:t>中国科学院</w:t>
      </w:r>
      <w:r>
        <w:rPr>
          <w:rFonts w:hint="eastAsia"/>
        </w:rPr>
        <w:t>、</w:t>
      </w:r>
      <w:r>
        <w:t>中国工程院等发布的</w:t>
      </w:r>
      <w:r>
        <w:rPr>
          <w:rFonts w:hint="eastAsia"/>
        </w:rPr>
        <w:t>行业行为准则与道德公约。</w:t>
      </w:r>
    </w:p>
    <w:p w14:paraId="661D0AF0">
      <w:pPr>
        <w:pStyle w:val="5"/>
        <w:bidi w:val="0"/>
        <w:rPr>
          <w:rFonts w:hint="eastAsia"/>
          <w:lang w:val="en-US" w:eastAsia="zh-CN"/>
        </w:rPr>
      </w:pPr>
      <w:r>
        <w:rPr>
          <w:rFonts w:hint="eastAsia"/>
          <w:lang w:val="en-US" w:eastAsia="zh-CN"/>
        </w:rPr>
        <w:t>2.6.3失信案例</w:t>
      </w:r>
    </w:p>
    <w:p w14:paraId="6B023E7C">
      <w:pPr>
        <w:pStyle w:val="44"/>
        <w:numPr>
          <w:ilvl w:val="0"/>
          <w:numId w:val="0"/>
        </w:numPr>
        <w:ind w:leftChars="0" w:firstLine="420" w:firstLineChars="0"/>
      </w:pPr>
      <w:r>
        <w:rPr>
          <w:rFonts w:hint="eastAsia"/>
        </w:rPr>
        <w:t>收集来自科学技术部、国家卫生健康委员会、国家自然科学基金委员会等众多官方披露案例，进行切分、归类，作为科研诚信领域警示案例。</w:t>
      </w:r>
    </w:p>
    <w:p w14:paraId="7565B8EB">
      <w:pPr>
        <w:pStyle w:val="4"/>
        <w:rPr>
          <w:rFonts w:hint="eastAsia"/>
          <w:lang w:val="en-US" w:eastAsia="zh-CN"/>
        </w:rPr>
      </w:pPr>
      <w:r>
        <w:rPr>
          <w:rFonts w:hint="eastAsia"/>
        </w:rPr>
        <w:t>2.</w:t>
      </w:r>
      <w:r>
        <w:rPr>
          <w:rFonts w:hint="eastAsia"/>
          <w:lang w:val="en-US" w:eastAsia="zh-CN"/>
        </w:rPr>
        <w:t>8个人中心</w:t>
      </w:r>
    </w:p>
    <w:p w14:paraId="16735D80">
      <w:pPr>
        <w:ind w:firstLine="420" w:firstLineChars="0"/>
        <w:rPr>
          <w:rFonts w:hint="eastAsia"/>
          <w:lang w:val="en-US" w:eastAsia="zh-CN"/>
        </w:rPr>
      </w:pPr>
      <w:r>
        <w:rPr>
          <w:rFonts w:hint="eastAsia"/>
          <w:lang w:val="en-US" w:eastAsia="zh-CN"/>
        </w:rPr>
        <w:t>点击右上角的头像，可查看个人中心所包含的栏目。</w:t>
      </w:r>
    </w:p>
    <w:p w14:paraId="1ADE426C">
      <w:pPr>
        <w:jc w:val="center"/>
        <w:rPr>
          <w:rFonts w:hint="default"/>
          <w:lang w:val="en-US" w:eastAsia="zh-CN"/>
        </w:rPr>
      </w:pPr>
      <w:r>
        <w:drawing>
          <wp:inline distT="0" distB="0" distL="114300" distR="114300">
            <wp:extent cx="1548130" cy="2586355"/>
            <wp:effectExtent l="0" t="0" r="4445" b="444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6"/>
                    <a:stretch>
                      <a:fillRect/>
                    </a:stretch>
                  </pic:blipFill>
                  <pic:spPr>
                    <a:xfrm>
                      <a:off x="0" y="0"/>
                      <a:ext cx="1548130" cy="2586355"/>
                    </a:xfrm>
                    <a:prstGeom prst="rect">
                      <a:avLst/>
                    </a:prstGeom>
                    <a:noFill/>
                    <a:ln>
                      <a:noFill/>
                    </a:ln>
                  </pic:spPr>
                </pic:pic>
              </a:graphicData>
            </a:graphic>
          </wp:inline>
        </w:drawing>
      </w:r>
    </w:p>
    <w:p w14:paraId="2FB2CD09">
      <w:pPr>
        <w:pStyle w:val="5"/>
        <w:rPr>
          <w:rFonts w:hint="eastAsia"/>
          <w:lang w:val="en-US" w:eastAsia="zh-CN"/>
        </w:rPr>
      </w:pPr>
      <w:r>
        <w:rPr>
          <w:rFonts w:hint="eastAsia"/>
          <w:lang w:val="en-US" w:eastAsia="zh-CN"/>
        </w:rPr>
        <w:t>2.8.1我的学习</w:t>
      </w:r>
    </w:p>
    <w:p w14:paraId="7689306E">
      <w:pPr>
        <w:ind w:firstLine="420" w:firstLineChars="0"/>
        <w:rPr>
          <w:rFonts w:hint="eastAsia"/>
          <w:lang w:val="en-US" w:eastAsia="zh-CN"/>
        </w:rPr>
      </w:pPr>
      <w:r>
        <w:rPr>
          <w:rFonts w:hint="eastAsia"/>
          <w:lang w:val="en-US" w:eastAsia="zh-CN"/>
        </w:rPr>
        <w:t>我的学习主要展示学习课程的情况，包括学习中的课程和已完成的课程。也可在此界面找到学习中的课程进行继续学习。</w:t>
      </w:r>
    </w:p>
    <w:p w14:paraId="1D3109C2">
      <w:pPr>
        <w:jc w:val="center"/>
        <w:rPr>
          <w:rFonts w:hint="default"/>
          <w:lang w:val="en-US" w:eastAsia="zh-CN"/>
        </w:rPr>
      </w:pPr>
      <w:r>
        <w:drawing>
          <wp:inline distT="0" distB="0" distL="114300" distR="114300">
            <wp:extent cx="5039995" cy="2413635"/>
            <wp:effectExtent l="104140" t="67945" r="104140" b="8064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7"/>
                    <a:stretch>
                      <a:fillRect/>
                    </a:stretch>
                  </pic:blipFill>
                  <pic:spPr>
                    <a:xfrm>
                      <a:off x="0" y="0"/>
                      <a:ext cx="5039995" cy="241363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AD54013">
      <w:pPr>
        <w:pStyle w:val="5"/>
        <w:rPr>
          <w:rFonts w:hint="eastAsia"/>
          <w:lang w:val="en-US" w:eastAsia="zh-CN"/>
        </w:rPr>
      </w:pPr>
      <w:r>
        <w:rPr>
          <w:rFonts w:hint="eastAsia"/>
          <w:lang w:val="en-US" w:eastAsia="zh-CN"/>
        </w:rPr>
        <w:t>2.8.2 我的活动</w:t>
      </w:r>
    </w:p>
    <w:p w14:paraId="12D7175F">
      <w:pPr>
        <w:ind w:firstLine="420" w:firstLineChars="0"/>
        <w:rPr>
          <w:rFonts w:hint="default"/>
          <w:lang w:val="en-US" w:eastAsia="zh-CN"/>
        </w:rPr>
      </w:pPr>
      <w:r>
        <w:rPr>
          <w:rFonts w:hint="eastAsia"/>
          <w:lang w:val="en-US" w:eastAsia="zh-CN"/>
        </w:rPr>
        <w:t>与导航“活动”模块一致，是活动模块的另一个入口，详见“</w:t>
      </w:r>
      <w:r>
        <w:rPr>
          <w:rFonts w:hint="eastAsia"/>
          <w:lang w:val="en-US" w:eastAsia="zh-CN"/>
        </w:rPr>
        <w:fldChar w:fldCharType="begin"/>
      </w:r>
      <w:r>
        <w:rPr>
          <w:rFonts w:hint="eastAsia"/>
          <w:lang w:val="en-US" w:eastAsia="zh-CN"/>
        </w:rPr>
        <w:instrText xml:space="preserve"> HYPERLINK \l "_2.3参加活动" </w:instrText>
      </w:r>
      <w:r>
        <w:rPr>
          <w:rFonts w:hint="eastAsia"/>
          <w:lang w:val="en-US" w:eastAsia="zh-CN"/>
        </w:rPr>
        <w:fldChar w:fldCharType="separate"/>
      </w:r>
      <w:r>
        <w:rPr>
          <w:rStyle w:val="24"/>
          <w:rFonts w:hint="eastAsia"/>
          <w:lang w:val="en-US" w:eastAsia="zh-CN"/>
        </w:rPr>
        <w:t>2.3 参加活动</w:t>
      </w:r>
      <w:r>
        <w:rPr>
          <w:rFonts w:hint="eastAsia"/>
          <w:lang w:val="en-US" w:eastAsia="zh-CN"/>
        </w:rPr>
        <w:fldChar w:fldCharType="end"/>
      </w:r>
      <w:r>
        <w:rPr>
          <w:rFonts w:hint="eastAsia"/>
          <w:lang w:val="en-US" w:eastAsia="zh-CN"/>
        </w:rPr>
        <w:t>”</w:t>
      </w:r>
    </w:p>
    <w:p w14:paraId="109114D4">
      <w:pPr>
        <w:pStyle w:val="5"/>
        <w:rPr>
          <w:rFonts w:hint="eastAsia"/>
          <w:lang w:val="en-US" w:eastAsia="zh-CN"/>
        </w:rPr>
      </w:pPr>
      <w:r>
        <w:rPr>
          <w:rFonts w:hint="eastAsia"/>
          <w:lang w:val="en-US" w:eastAsia="zh-CN"/>
        </w:rPr>
        <w:t>2.8.3 我的证书</w:t>
      </w:r>
    </w:p>
    <w:p w14:paraId="59F7797B">
      <w:pPr>
        <w:ind w:firstLine="420" w:firstLineChars="0"/>
        <w:rPr>
          <w:rFonts w:hint="eastAsia"/>
          <w:lang w:val="en-US" w:eastAsia="zh-CN"/>
        </w:rPr>
      </w:pPr>
      <w:r>
        <w:rPr>
          <w:rFonts w:hint="eastAsia"/>
          <w:lang w:val="en-US" w:eastAsia="zh-CN"/>
        </w:rPr>
        <w:t>展示所有过往参加活动，并完成活动要求后所获得的证书，可在此进行查看或下载。</w:t>
      </w:r>
    </w:p>
    <w:p w14:paraId="4AAAF3F8">
      <w:pPr>
        <w:rPr>
          <w:rFonts w:hint="default"/>
          <w:lang w:val="en-US" w:eastAsia="zh-CN"/>
        </w:rPr>
      </w:pPr>
      <w:r>
        <w:drawing>
          <wp:inline distT="0" distB="0" distL="114300" distR="114300">
            <wp:extent cx="5263515" cy="2632710"/>
            <wp:effectExtent l="0" t="0" r="3810" b="571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28"/>
                    <a:stretch>
                      <a:fillRect/>
                    </a:stretch>
                  </pic:blipFill>
                  <pic:spPr>
                    <a:xfrm>
                      <a:off x="0" y="0"/>
                      <a:ext cx="5263515" cy="2632710"/>
                    </a:xfrm>
                    <a:prstGeom prst="rect">
                      <a:avLst/>
                    </a:prstGeom>
                    <a:noFill/>
                    <a:ln>
                      <a:noFill/>
                    </a:ln>
                  </pic:spPr>
                </pic:pic>
              </a:graphicData>
            </a:graphic>
          </wp:inline>
        </w:drawing>
      </w:r>
    </w:p>
    <w:p w14:paraId="3529B9DE">
      <w:pPr>
        <w:pStyle w:val="5"/>
      </w:pPr>
      <w:r>
        <w:rPr>
          <w:rFonts w:hint="eastAsia"/>
        </w:rPr>
        <w:t>2</w:t>
      </w:r>
      <w:r>
        <w:t>.</w:t>
      </w:r>
      <w:r>
        <w:rPr>
          <w:rFonts w:hint="eastAsia"/>
          <w:lang w:val="en-US" w:eastAsia="zh-CN"/>
        </w:rPr>
        <w:t>8</w:t>
      </w:r>
      <w:r>
        <w:t>.</w:t>
      </w:r>
      <w:r>
        <w:rPr>
          <w:rFonts w:hint="eastAsia"/>
          <w:lang w:val="en-US" w:eastAsia="zh-CN"/>
        </w:rPr>
        <w:t>4</w:t>
      </w:r>
      <w:r>
        <w:t>我的资料</w:t>
      </w:r>
    </w:p>
    <w:p w14:paraId="3FA10EF9">
      <w:pPr>
        <w:ind w:firstLine="420" w:firstLineChars="0"/>
      </w:pPr>
      <w:r>
        <w:rPr>
          <w:rFonts w:hint="eastAsia"/>
        </w:rPr>
        <w:t>我的资料：包括头像、用户名、姓名及部门科室</w:t>
      </w:r>
      <w:r>
        <w:rPr>
          <w:rFonts w:hint="eastAsia"/>
          <w:lang w:val="en-US" w:eastAsia="zh-CN"/>
        </w:rPr>
        <w:t>/院系专业</w:t>
      </w:r>
      <w:r>
        <w:rPr>
          <w:rFonts w:hint="eastAsia"/>
        </w:rPr>
        <w:t>。</w:t>
      </w:r>
      <w:r>
        <w:t xml:space="preserve"> </w:t>
      </w:r>
    </w:p>
    <w:p w14:paraId="2A6FA332">
      <w:pPr>
        <w:ind w:left="0" w:leftChars="0" w:firstLine="0" w:firstLineChars="0"/>
        <w:jc w:val="center"/>
      </w:pPr>
      <w:r>
        <w:drawing>
          <wp:inline distT="0" distB="0" distL="114300" distR="114300">
            <wp:extent cx="5039995" cy="2157730"/>
            <wp:effectExtent l="0" t="0" r="8255" b="444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9"/>
                    <a:stretch>
                      <a:fillRect/>
                    </a:stretch>
                  </pic:blipFill>
                  <pic:spPr>
                    <a:xfrm>
                      <a:off x="0" y="0"/>
                      <a:ext cx="5039995" cy="2157730"/>
                    </a:xfrm>
                    <a:prstGeom prst="rect">
                      <a:avLst/>
                    </a:prstGeom>
                    <a:noFill/>
                    <a:ln>
                      <a:noFill/>
                    </a:ln>
                  </pic:spPr>
                </pic:pic>
              </a:graphicData>
            </a:graphic>
          </wp:inline>
        </w:drawing>
      </w:r>
    </w:p>
    <w:p w14:paraId="463B35CC">
      <w:pPr>
        <w:pStyle w:val="44"/>
        <w:numPr>
          <w:ilvl w:val="0"/>
          <w:numId w:val="13"/>
        </w:numPr>
        <w:ind w:firstLineChars="0"/>
      </w:pPr>
      <w:r>
        <w:rPr>
          <w:rFonts w:hint="eastAsia"/>
          <w:lang w:val="en-US" w:eastAsia="zh-CN"/>
        </w:rPr>
        <w:t>头像：用户可自定义用户头像（150*150像素）</w:t>
      </w:r>
      <w:r>
        <w:rPr>
          <w:rFonts w:hint="eastAsia"/>
        </w:rPr>
        <w:t>；</w:t>
      </w:r>
    </w:p>
    <w:p w14:paraId="1E5535F3">
      <w:pPr>
        <w:pStyle w:val="44"/>
        <w:numPr>
          <w:ilvl w:val="0"/>
          <w:numId w:val="13"/>
        </w:numPr>
        <w:ind w:firstLineChars="0"/>
        <w:rPr>
          <w:rFonts w:hint="eastAsia"/>
          <w:lang w:val="en-US" w:eastAsia="zh-CN"/>
        </w:rPr>
      </w:pPr>
      <w:r>
        <w:rPr>
          <w:rFonts w:hint="eastAsia"/>
          <w:lang w:val="en-US" w:eastAsia="zh-CN"/>
        </w:rPr>
        <w:t>用户名：在注册时填写，不能修改；</w:t>
      </w:r>
    </w:p>
    <w:p w14:paraId="47173F9A">
      <w:pPr>
        <w:pStyle w:val="44"/>
        <w:numPr>
          <w:ilvl w:val="0"/>
          <w:numId w:val="13"/>
        </w:numPr>
        <w:ind w:firstLineChars="0"/>
        <w:rPr>
          <w:rFonts w:hint="eastAsia"/>
          <w:lang w:val="en-US" w:eastAsia="zh-CN"/>
        </w:rPr>
      </w:pPr>
      <w:r>
        <w:rPr>
          <w:rFonts w:hint="eastAsia"/>
          <w:lang w:val="en-US" w:eastAsia="zh-CN"/>
        </w:rPr>
        <w:t xml:space="preserve">姓名：输入您的姓名，将作为证书上姓名使用，建议使用真实姓名，长度不超过20个字符； </w:t>
      </w:r>
    </w:p>
    <w:p w14:paraId="61111888">
      <w:pPr>
        <w:pStyle w:val="44"/>
        <w:numPr>
          <w:ilvl w:val="0"/>
          <w:numId w:val="13"/>
        </w:numPr>
        <w:ind w:firstLineChars="0"/>
        <w:rPr>
          <w:rFonts w:hint="eastAsia"/>
          <w:lang w:val="en-US" w:eastAsia="zh-CN"/>
        </w:rPr>
      </w:pPr>
      <w:r>
        <w:rPr>
          <w:rFonts w:hint="eastAsia"/>
          <w:lang w:val="en-US" w:eastAsia="zh-CN"/>
        </w:rPr>
        <w:t>部门科室/院系专业：输入您所属的二级机构名称，长度不超过20个字符。</w:t>
      </w:r>
    </w:p>
    <w:p w14:paraId="65A82A8E">
      <w:pPr>
        <w:pStyle w:val="5"/>
      </w:pPr>
      <w:r>
        <w:rPr>
          <w:rFonts w:hint="eastAsia"/>
        </w:rPr>
        <w:t>2</w:t>
      </w:r>
      <w:r>
        <w:t>.</w:t>
      </w:r>
      <w:r>
        <w:rPr>
          <w:rFonts w:hint="eastAsia"/>
          <w:lang w:val="en-US" w:eastAsia="zh-CN"/>
        </w:rPr>
        <w:t>8</w:t>
      </w:r>
      <w:r>
        <w:t>.</w:t>
      </w:r>
      <w:r>
        <w:rPr>
          <w:rFonts w:hint="eastAsia"/>
          <w:lang w:val="en-US" w:eastAsia="zh-CN"/>
        </w:rPr>
        <w:t>5账号与</w:t>
      </w:r>
      <w:r>
        <w:t>安全</w:t>
      </w:r>
    </w:p>
    <w:p w14:paraId="24DC375B">
      <w:pPr>
        <w:ind w:firstLine="480" w:firstLineChars="200"/>
      </w:pPr>
      <w:r>
        <w:t>包括手机账号和归属机构</w:t>
      </w:r>
      <w:r>
        <w:rPr>
          <w:rFonts w:hint="eastAsia"/>
          <w:lang w:eastAsia="zh-CN"/>
        </w:rPr>
        <w:t>，</w:t>
      </w:r>
      <w:r>
        <w:rPr>
          <w:rFonts w:hint="eastAsia"/>
          <w:lang w:val="en-US" w:eastAsia="zh-CN"/>
        </w:rPr>
        <w:t>还可在此注销个人账号（注：注销后包括培训系统在内的所有科研诚信服务平台及下属产品均无法登录。）</w:t>
      </w:r>
      <w:r>
        <w:rPr>
          <w:rFonts w:hint="eastAsia"/>
        </w:rPr>
        <w:t>可通过页头-账户与安全进入。</w:t>
      </w:r>
    </w:p>
    <w:p w14:paraId="24DC15E0">
      <w:pPr>
        <w:pStyle w:val="44"/>
        <w:numPr>
          <w:ilvl w:val="0"/>
          <w:numId w:val="13"/>
        </w:numPr>
        <w:ind w:firstLineChars="0"/>
        <w:rPr>
          <w:rFonts w:hint="eastAsia"/>
          <w:lang w:val="en-US" w:eastAsia="zh-CN"/>
        </w:rPr>
      </w:pPr>
      <w:r>
        <w:rPr>
          <w:rFonts w:hint="eastAsia"/>
          <w:lang w:val="en-US" w:eastAsia="zh-CN"/>
        </w:rPr>
        <w:t>手机账号：为注册时填写的手机号码，可在此进行更改手机号或修改密码操作；</w:t>
      </w:r>
    </w:p>
    <w:p w14:paraId="7D6F4E55">
      <w:pPr>
        <w:pStyle w:val="44"/>
        <w:numPr>
          <w:ilvl w:val="0"/>
          <w:numId w:val="13"/>
        </w:numPr>
        <w:ind w:firstLineChars="0"/>
        <w:rPr>
          <w:rFonts w:hint="eastAsia"/>
          <w:lang w:val="en-US" w:eastAsia="zh-CN"/>
        </w:rPr>
      </w:pPr>
      <w:r>
        <w:rPr>
          <w:rFonts w:hint="eastAsia"/>
          <w:lang w:val="en-US" w:eastAsia="zh-CN"/>
        </w:rPr>
        <w:t>归属机构：显示您绑定的机构名称。未绑定机构可以进行机构绑定，已绑定机构可以进行解绑操作。</w:t>
      </w:r>
    </w:p>
    <w:p w14:paraId="206877B8">
      <w:pPr>
        <w:pStyle w:val="44"/>
        <w:numPr>
          <w:ilvl w:val="0"/>
          <w:numId w:val="13"/>
        </w:numPr>
        <w:ind w:firstLineChars="0"/>
        <w:rPr>
          <w:rFonts w:hint="eastAsia"/>
          <w:lang w:val="en-US" w:eastAsia="zh-CN"/>
        </w:rPr>
      </w:pPr>
      <w:r>
        <w:rPr>
          <w:rFonts w:hint="eastAsia"/>
          <w:lang w:val="en-US" w:eastAsia="zh-CN"/>
        </w:rPr>
        <w:t>解绑：点击【解绑】按钮，您将主动解除与所在机构的绑定关系。解除绑定后，您的用户类型将从机构用户变为个人用户。名师讲堂、精品课程、测评和活动模块的访问将会受到限制。请谨慎解绑。</w:t>
      </w:r>
    </w:p>
    <w:p w14:paraId="5C4039AC">
      <w:pPr>
        <w:pStyle w:val="44"/>
        <w:numPr>
          <w:ilvl w:val="0"/>
          <w:numId w:val="13"/>
        </w:numPr>
        <w:ind w:firstLineChars="0"/>
        <w:rPr>
          <w:rFonts w:hint="eastAsia"/>
          <w:lang w:val="en-US" w:eastAsia="zh-CN"/>
        </w:rPr>
      </w:pPr>
      <w:r>
        <w:rPr>
          <w:rFonts w:hint="eastAsia"/>
          <w:lang w:val="en-US" w:eastAsia="zh-CN"/>
        </w:rPr>
        <w:t>注意：管理员也能在后台解除您与机构的绑定，建议您在绑定机构时填写真实的姓名和部门科室信息，管理员会根据姓名和部门科室信息初步判断您是否为本机构的人员。解绑后，您也可以联系管理员获取口令，再次进行机构绑定。</w:t>
      </w:r>
    </w:p>
    <w:p w14:paraId="4BFDA33F">
      <w:pPr>
        <w:pStyle w:val="4"/>
      </w:pPr>
      <w:r>
        <w:rPr>
          <w:rFonts w:hint="eastAsia"/>
        </w:rPr>
        <w:t>2</w:t>
      </w:r>
      <w:r>
        <w:t>.</w:t>
      </w:r>
      <w:r>
        <w:rPr>
          <w:rFonts w:hint="eastAsia"/>
          <w:lang w:val="en-US" w:eastAsia="zh-CN"/>
        </w:rPr>
        <w:t>9</w:t>
      </w:r>
      <w:r>
        <w:t xml:space="preserve"> 联系我们</w:t>
      </w:r>
    </w:p>
    <w:p w14:paraId="4164038E">
      <w:pPr>
        <w:bidi w:val="0"/>
        <w:ind w:firstLine="420" w:firstLineChars="0"/>
        <w:rPr>
          <w:rFonts w:hint="eastAsia"/>
          <w:lang w:val="en-US" w:eastAsia="zh-CN"/>
        </w:rPr>
      </w:pPr>
      <w:r>
        <w:t>在学习过程中如遇问题</w:t>
      </w:r>
      <w:r>
        <w:rPr>
          <w:rFonts w:hint="eastAsia"/>
        </w:rPr>
        <w:t>，</w:t>
      </w:r>
      <w:r>
        <w:t>请仔细阅读产品使用说明书或者拨打</w:t>
      </w:r>
      <w:r>
        <w:rPr>
          <w:rFonts w:hint="eastAsia"/>
          <w:lang w:val="en-US" w:eastAsia="zh-CN"/>
        </w:rPr>
        <w:t>相关联系人电话</w:t>
      </w:r>
    </w:p>
    <w:p w14:paraId="4E11B5A1">
      <w:pPr>
        <w:bidi w:val="0"/>
        <w:ind w:firstLine="420" w:firstLineChars="0"/>
        <w:rPr>
          <w:rFonts w:hint="default"/>
          <w:sz w:val="36"/>
          <w:szCs w:val="32"/>
          <w:lang w:val="en-US" w:eastAsia="zh-CN"/>
        </w:rPr>
      </w:pPr>
      <w:r>
        <w:rPr>
          <w:rFonts w:hint="eastAsia"/>
          <w:sz w:val="36"/>
          <w:szCs w:val="32"/>
          <w:lang w:val="en-US" w:eastAsia="zh-CN"/>
        </w:rPr>
        <w:t>万方常小蝶18019551024</w:t>
      </w:r>
    </w:p>
    <w:sectPr>
      <w:headerReference r:id="rId6" w:type="first"/>
      <w:headerReference r:id="rId5" w:type="default"/>
      <w:pgSz w:w="11906" w:h="16838"/>
      <w:pgMar w:top="1440" w:right="1800" w:bottom="1440" w:left="1800" w:header="851" w:footer="992"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FEB">
    <w:pPr>
      <w:pStyle w:val="15"/>
      <w:ind w:firstLine="360"/>
      <w:jc w:val="both"/>
    </w:pPr>
    <w:r>
      <w:rPr>
        <w:rFonts w:hint="eastAsia"/>
      </w:rPr>
      <w:t xml:space="preserve">万方数据-科研诚信培训系统产品说明                                              </w:t>
    </w:r>
    <w:r>
      <w:t xml:space="preserve">     </w:t>
    </w:r>
    <w:r>
      <w:rPr>
        <w:rFonts w:hint="eastAsia"/>
      </w:rPr>
      <w:t xml:space="preserve"> </w:t>
    </w:r>
    <w:r>
      <w:fldChar w:fldCharType="begin"/>
    </w:r>
    <w:r>
      <w:instrText xml:space="preserve">PAGE   \* MERGEFORMAT</w:instrText>
    </w:r>
    <w:r>
      <w:fldChar w:fldCharType="separate"/>
    </w:r>
    <w:r>
      <w:rPr>
        <w:lang w:val="zh-CN"/>
      </w:rPr>
      <w:t>14</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783BC">
    <w:pPr>
      <w:pStyle w:val="15"/>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A5C2A9"/>
    <w:multiLevelType w:val="singleLevel"/>
    <w:tmpl w:val="B8A5C2A9"/>
    <w:lvl w:ilvl="0" w:tentative="0">
      <w:start w:val="1"/>
      <w:numFmt w:val="bullet"/>
      <w:lvlText w:val=""/>
      <w:lvlJc w:val="left"/>
      <w:pPr>
        <w:ind w:left="420" w:hanging="420"/>
      </w:pPr>
      <w:rPr>
        <w:rFonts w:hint="default" w:ascii="Wingdings" w:hAnsi="Wingdings"/>
      </w:rPr>
    </w:lvl>
  </w:abstractNum>
  <w:abstractNum w:abstractNumId="1">
    <w:nsid w:val="E1AB9017"/>
    <w:multiLevelType w:val="multilevel"/>
    <w:tmpl w:val="E1AB9017"/>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01026061"/>
    <w:multiLevelType w:val="multilevel"/>
    <w:tmpl w:val="0102606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72D6EE3"/>
    <w:multiLevelType w:val="multilevel"/>
    <w:tmpl w:val="072D6EE3"/>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4DB27F7"/>
    <w:multiLevelType w:val="multilevel"/>
    <w:tmpl w:val="14DB27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5">
    <w:nsid w:val="17EA01A9"/>
    <w:multiLevelType w:val="multilevel"/>
    <w:tmpl w:val="17EA01A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1B413350"/>
    <w:multiLevelType w:val="multilevel"/>
    <w:tmpl w:val="1B413350"/>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7">
    <w:nsid w:val="1BF073FE"/>
    <w:multiLevelType w:val="multilevel"/>
    <w:tmpl w:val="1BF073F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E781297"/>
    <w:multiLevelType w:val="multilevel"/>
    <w:tmpl w:val="1E781297"/>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9">
    <w:nsid w:val="3745F75D"/>
    <w:multiLevelType w:val="singleLevel"/>
    <w:tmpl w:val="3745F75D"/>
    <w:lvl w:ilvl="0" w:tentative="0">
      <w:start w:val="1"/>
      <w:numFmt w:val="decimal"/>
      <w:suff w:val="nothing"/>
      <w:lvlText w:val="（%1）"/>
      <w:lvlJc w:val="left"/>
    </w:lvl>
  </w:abstractNum>
  <w:abstractNum w:abstractNumId="10">
    <w:nsid w:val="45F9285D"/>
    <w:multiLevelType w:val="multilevel"/>
    <w:tmpl w:val="45F9285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7D33545D"/>
    <w:multiLevelType w:val="multilevel"/>
    <w:tmpl w:val="7D33545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ED7E325"/>
    <w:multiLevelType w:val="singleLevel"/>
    <w:tmpl w:val="7ED7E325"/>
    <w:lvl w:ilvl="0" w:tentative="0">
      <w:start w:val="1"/>
      <w:numFmt w:val="bullet"/>
      <w:lvlText w:val=""/>
      <w:lvlJc w:val="left"/>
      <w:pPr>
        <w:ind w:left="420" w:hanging="420"/>
      </w:pPr>
      <w:rPr>
        <w:rFonts w:hint="default" w:ascii="Wingdings" w:hAnsi="Wingdings"/>
      </w:rPr>
    </w:lvl>
  </w:abstractNum>
  <w:num w:numId="1">
    <w:abstractNumId w:val="1"/>
  </w:num>
  <w:num w:numId="2">
    <w:abstractNumId w:val="11"/>
  </w:num>
  <w:num w:numId="3">
    <w:abstractNumId w:val="5"/>
  </w:num>
  <w:num w:numId="4">
    <w:abstractNumId w:val="3"/>
  </w:num>
  <w:num w:numId="5">
    <w:abstractNumId w:val="6"/>
  </w:num>
  <w:num w:numId="6">
    <w:abstractNumId w:val="9"/>
  </w:num>
  <w:num w:numId="7">
    <w:abstractNumId w:val="8"/>
  </w:num>
  <w:num w:numId="8">
    <w:abstractNumId w:val="0"/>
  </w:num>
  <w:num w:numId="9">
    <w:abstractNumId w:val="2"/>
  </w:num>
  <w:num w:numId="10">
    <w:abstractNumId w:val="4"/>
  </w:num>
  <w:num w:numId="11">
    <w:abstractNumId w:val="12"/>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0YmE4OWQ0ODZhMzZkZjEzM2MyMWI5YzM3MTkzYTkifQ=="/>
  </w:docVars>
  <w:rsids>
    <w:rsidRoot w:val="00721A8D"/>
    <w:rsid w:val="00003C47"/>
    <w:rsid w:val="0000496E"/>
    <w:rsid w:val="0000520A"/>
    <w:rsid w:val="00005784"/>
    <w:rsid w:val="00010F21"/>
    <w:rsid w:val="00010FE3"/>
    <w:rsid w:val="00011D81"/>
    <w:rsid w:val="00012B1B"/>
    <w:rsid w:val="00017468"/>
    <w:rsid w:val="000249FF"/>
    <w:rsid w:val="000251FF"/>
    <w:rsid w:val="000268BC"/>
    <w:rsid w:val="000271CB"/>
    <w:rsid w:val="00030DFB"/>
    <w:rsid w:val="00031CF2"/>
    <w:rsid w:val="00032089"/>
    <w:rsid w:val="00033DB6"/>
    <w:rsid w:val="00035961"/>
    <w:rsid w:val="000366B8"/>
    <w:rsid w:val="00037714"/>
    <w:rsid w:val="00040488"/>
    <w:rsid w:val="00040B75"/>
    <w:rsid w:val="0004168D"/>
    <w:rsid w:val="00041B74"/>
    <w:rsid w:val="00042445"/>
    <w:rsid w:val="00042C8F"/>
    <w:rsid w:val="00043213"/>
    <w:rsid w:val="00044231"/>
    <w:rsid w:val="00045A55"/>
    <w:rsid w:val="00047839"/>
    <w:rsid w:val="00052828"/>
    <w:rsid w:val="00052A71"/>
    <w:rsid w:val="000545B6"/>
    <w:rsid w:val="000557CD"/>
    <w:rsid w:val="00055C9E"/>
    <w:rsid w:val="000569FA"/>
    <w:rsid w:val="00060F9B"/>
    <w:rsid w:val="00062B0F"/>
    <w:rsid w:val="00064ACE"/>
    <w:rsid w:val="0007274B"/>
    <w:rsid w:val="00074A79"/>
    <w:rsid w:val="000820A5"/>
    <w:rsid w:val="00082A23"/>
    <w:rsid w:val="00092724"/>
    <w:rsid w:val="000927E6"/>
    <w:rsid w:val="00093743"/>
    <w:rsid w:val="000950C3"/>
    <w:rsid w:val="000A0FE5"/>
    <w:rsid w:val="000A3649"/>
    <w:rsid w:val="000A5218"/>
    <w:rsid w:val="000A52B6"/>
    <w:rsid w:val="000A54BF"/>
    <w:rsid w:val="000A7855"/>
    <w:rsid w:val="000B0B2F"/>
    <w:rsid w:val="000B2890"/>
    <w:rsid w:val="000B2FC1"/>
    <w:rsid w:val="000B5D70"/>
    <w:rsid w:val="000C1CBF"/>
    <w:rsid w:val="000C278C"/>
    <w:rsid w:val="000C323C"/>
    <w:rsid w:val="000C54A1"/>
    <w:rsid w:val="000C7833"/>
    <w:rsid w:val="000D0EDD"/>
    <w:rsid w:val="000D1E40"/>
    <w:rsid w:val="000D237F"/>
    <w:rsid w:val="000D4D22"/>
    <w:rsid w:val="000D4D8F"/>
    <w:rsid w:val="000D6193"/>
    <w:rsid w:val="000D6998"/>
    <w:rsid w:val="000D724E"/>
    <w:rsid w:val="000E05FB"/>
    <w:rsid w:val="000E4D52"/>
    <w:rsid w:val="000E4F61"/>
    <w:rsid w:val="000E7028"/>
    <w:rsid w:val="000E73F5"/>
    <w:rsid w:val="000E7D31"/>
    <w:rsid w:val="000F00C6"/>
    <w:rsid w:val="000F2CA1"/>
    <w:rsid w:val="000F7AAD"/>
    <w:rsid w:val="00103B84"/>
    <w:rsid w:val="00103D54"/>
    <w:rsid w:val="00105102"/>
    <w:rsid w:val="001051CC"/>
    <w:rsid w:val="00106A37"/>
    <w:rsid w:val="0010761C"/>
    <w:rsid w:val="0010795C"/>
    <w:rsid w:val="00111F3B"/>
    <w:rsid w:val="00112863"/>
    <w:rsid w:val="00114AF3"/>
    <w:rsid w:val="001162BE"/>
    <w:rsid w:val="0012034A"/>
    <w:rsid w:val="001218C1"/>
    <w:rsid w:val="00124FD9"/>
    <w:rsid w:val="00130DD4"/>
    <w:rsid w:val="0013137B"/>
    <w:rsid w:val="00137199"/>
    <w:rsid w:val="001403EE"/>
    <w:rsid w:val="00141F9D"/>
    <w:rsid w:val="00142594"/>
    <w:rsid w:val="001433E2"/>
    <w:rsid w:val="00150AE2"/>
    <w:rsid w:val="00152F27"/>
    <w:rsid w:val="0015375C"/>
    <w:rsid w:val="00156B4B"/>
    <w:rsid w:val="00161262"/>
    <w:rsid w:val="00163993"/>
    <w:rsid w:val="001647AA"/>
    <w:rsid w:val="00165C6B"/>
    <w:rsid w:val="00170A89"/>
    <w:rsid w:val="00171054"/>
    <w:rsid w:val="00175520"/>
    <w:rsid w:val="00183A7F"/>
    <w:rsid w:val="0018492D"/>
    <w:rsid w:val="00187F30"/>
    <w:rsid w:val="00190F9B"/>
    <w:rsid w:val="00191790"/>
    <w:rsid w:val="00191C06"/>
    <w:rsid w:val="00193E83"/>
    <w:rsid w:val="00193EE2"/>
    <w:rsid w:val="001A1269"/>
    <w:rsid w:val="001A5046"/>
    <w:rsid w:val="001A692C"/>
    <w:rsid w:val="001B3C05"/>
    <w:rsid w:val="001B5346"/>
    <w:rsid w:val="001B550B"/>
    <w:rsid w:val="001B5BFC"/>
    <w:rsid w:val="001C081A"/>
    <w:rsid w:val="001C1D11"/>
    <w:rsid w:val="001C20E1"/>
    <w:rsid w:val="001C359E"/>
    <w:rsid w:val="001C4379"/>
    <w:rsid w:val="001C4AF0"/>
    <w:rsid w:val="001C541D"/>
    <w:rsid w:val="001C5D27"/>
    <w:rsid w:val="001D1FF2"/>
    <w:rsid w:val="001E2068"/>
    <w:rsid w:val="001E310F"/>
    <w:rsid w:val="001E69C4"/>
    <w:rsid w:val="001F13BB"/>
    <w:rsid w:val="001F385D"/>
    <w:rsid w:val="001F40D4"/>
    <w:rsid w:val="001F6561"/>
    <w:rsid w:val="001F7D9E"/>
    <w:rsid w:val="00201055"/>
    <w:rsid w:val="00203DAC"/>
    <w:rsid w:val="00212829"/>
    <w:rsid w:val="00215C12"/>
    <w:rsid w:val="002201B2"/>
    <w:rsid w:val="00224BE7"/>
    <w:rsid w:val="0022745B"/>
    <w:rsid w:val="00234CAD"/>
    <w:rsid w:val="00235A60"/>
    <w:rsid w:val="00241E1D"/>
    <w:rsid w:val="0024297B"/>
    <w:rsid w:val="00244F17"/>
    <w:rsid w:val="00245BF7"/>
    <w:rsid w:val="002529BF"/>
    <w:rsid w:val="00255073"/>
    <w:rsid w:val="002561E6"/>
    <w:rsid w:val="0025710B"/>
    <w:rsid w:val="00260417"/>
    <w:rsid w:val="0026067C"/>
    <w:rsid w:val="00262C41"/>
    <w:rsid w:val="00267B2E"/>
    <w:rsid w:val="00270F33"/>
    <w:rsid w:val="00271348"/>
    <w:rsid w:val="00274849"/>
    <w:rsid w:val="002810DF"/>
    <w:rsid w:val="002840A5"/>
    <w:rsid w:val="00287208"/>
    <w:rsid w:val="002876C6"/>
    <w:rsid w:val="002903FB"/>
    <w:rsid w:val="00291872"/>
    <w:rsid w:val="002948CC"/>
    <w:rsid w:val="00296F75"/>
    <w:rsid w:val="00297861"/>
    <w:rsid w:val="00297B85"/>
    <w:rsid w:val="002A0246"/>
    <w:rsid w:val="002A1A07"/>
    <w:rsid w:val="002A2321"/>
    <w:rsid w:val="002A2E20"/>
    <w:rsid w:val="002A607E"/>
    <w:rsid w:val="002A6598"/>
    <w:rsid w:val="002A783D"/>
    <w:rsid w:val="002B3BDB"/>
    <w:rsid w:val="002B4599"/>
    <w:rsid w:val="002B69D5"/>
    <w:rsid w:val="002C1367"/>
    <w:rsid w:val="002C40D8"/>
    <w:rsid w:val="002C7B05"/>
    <w:rsid w:val="002D1E76"/>
    <w:rsid w:val="002D2706"/>
    <w:rsid w:val="002D486D"/>
    <w:rsid w:val="002D6A0A"/>
    <w:rsid w:val="002D6C92"/>
    <w:rsid w:val="002E6A52"/>
    <w:rsid w:val="002F03BA"/>
    <w:rsid w:val="002F35CB"/>
    <w:rsid w:val="002F52F2"/>
    <w:rsid w:val="002F54A0"/>
    <w:rsid w:val="002F7DED"/>
    <w:rsid w:val="00300384"/>
    <w:rsid w:val="003005D8"/>
    <w:rsid w:val="00300C42"/>
    <w:rsid w:val="00302082"/>
    <w:rsid w:val="00305336"/>
    <w:rsid w:val="003054EA"/>
    <w:rsid w:val="00310CCD"/>
    <w:rsid w:val="003113C2"/>
    <w:rsid w:val="00311A1E"/>
    <w:rsid w:val="00312A2F"/>
    <w:rsid w:val="00313489"/>
    <w:rsid w:val="00316F62"/>
    <w:rsid w:val="00320EBA"/>
    <w:rsid w:val="003216B7"/>
    <w:rsid w:val="00321ACA"/>
    <w:rsid w:val="00322B7B"/>
    <w:rsid w:val="00323716"/>
    <w:rsid w:val="003260F0"/>
    <w:rsid w:val="00327FB7"/>
    <w:rsid w:val="00332AC4"/>
    <w:rsid w:val="003335EC"/>
    <w:rsid w:val="003408F7"/>
    <w:rsid w:val="00345EA2"/>
    <w:rsid w:val="00345F52"/>
    <w:rsid w:val="003504C2"/>
    <w:rsid w:val="003518B9"/>
    <w:rsid w:val="00353B7A"/>
    <w:rsid w:val="00355C4B"/>
    <w:rsid w:val="0035668A"/>
    <w:rsid w:val="00357C87"/>
    <w:rsid w:val="0036471C"/>
    <w:rsid w:val="00365E24"/>
    <w:rsid w:val="00374BA5"/>
    <w:rsid w:val="003771FC"/>
    <w:rsid w:val="003800F9"/>
    <w:rsid w:val="00380ECC"/>
    <w:rsid w:val="00381752"/>
    <w:rsid w:val="003817C6"/>
    <w:rsid w:val="00381CD6"/>
    <w:rsid w:val="00383136"/>
    <w:rsid w:val="00383EC9"/>
    <w:rsid w:val="0038504E"/>
    <w:rsid w:val="00390C69"/>
    <w:rsid w:val="00394DA5"/>
    <w:rsid w:val="00396427"/>
    <w:rsid w:val="003966CD"/>
    <w:rsid w:val="00396AA7"/>
    <w:rsid w:val="003A2807"/>
    <w:rsid w:val="003A363F"/>
    <w:rsid w:val="003A43FE"/>
    <w:rsid w:val="003A5CBB"/>
    <w:rsid w:val="003A71DE"/>
    <w:rsid w:val="003B09DC"/>
    <w:rsid w:val="003B69B0"/>
    <w:rsid w:val="003B73C3"/>
    <w:rsid w:val="003C5022"/>
    <w:rsid w:val="003C5A91"/>
    <w:rsid w:val="003C6FA6"/>
    <w:rsid w:val="003C6FCA"/>
    <w:rsid w:val="003D095D"/>
    <w:rsid w:val="003D1528"/>
    <w:rsid w:val="003D492C"/>
    <w:rsid w:val="003D5290"/>
    <w:rsid w:val="003E0D7A"/>
    <w:rsid w:val="003E1408"/>
    <w:rsid w:val="003E2192"/>
    <w:rsid w:val="003E2259"/>
    <w:rsid w:val="003E38AE"/>
    <w:rsid w:val="003E3D6C"/>
    <w:rsid w:val="003E47A9"/>
    <w:rsid w:val="003E6527"/>
    <w:rsid w:val="003F0E37"/>
    <w:rsid w:val="003F1A60"/>
    <w:rsid w:val="003F6D44"/>
    <w:rsid w:val="004004F4"/>
    <w:rsid w:val="0040093C"/>
    <w:rsid w:val="00402924"/>
    <w:rsid w:val="00403F82"/>
    <w:rsid w:val="00405210"/>
    <w:rsid w:val="0040567A"/>
    <w:rsid w:val="004058AE"/>
    <w:rsid w:val="00405D3D"/>
    <w:rsid w:val="00406260"/>
    <w:rsid w:val="00412775"/>
    <w:rsid w:val="0041420A"/>
    <w:rsid w:val="00421791"/>
    <w:rsid w:val="004260B6"/>
    <w:rsid w:val="00431214"/>
    <w:rsid w:val="00431F87"/>
    <w:rsid w:val="00432FB0"/>
    <w:rsid w:val="00433533"/>
    <w:rsid w:val="00433850"/>
    <w:rsid w:val="00436637"/>
    <w:rsid w:val="0043697B"/>
    <w:rsid w:val="004373AF"/>
    <w:rsid w:val="00442A90"/>
    <w:rsid w:val="00442D2B"/>
    <w:rsid w:val="00442EC7"/>
    <w:rsid w:val="004441A5"/>
    <w:rsid w:val="00455D1C"/>
    <w:rsid w:val="00456FB1"/>
    <w:rsid w:val="00457E2B"/>
    <w:rsid w:val="00463494"/>
    <w:rsid w:val="00463A77"/>
    <w:rsid w:val="00465747"/>
    <w:rsid w:val="00467A16"/>
    <w:rsid w:val="0047184A"/>
    <w:rsid w:val="00471B2F"/>
    <w:rsid w:val="0047495B"/>
    <w:rsid w:val="00482C66"/>
    <w:rsid w:val="00485432"/>
    <w:rsid w:val="00487279"/>
    <w:rsid w:val="004876A6"/>
    <w:rsid w:val="00492AF8"/>
    <w:rsid w:val="00493D50"/>
    <w:rsid w:val="0049605A"/>
    <w:rsid w:val="004A20CE"/>
    <w:rsid w:val="004A4C0A"/>
    <w:rsid w:val="004A51F7"/>
    <w:rsid w:val="004A5B19"/>
    <w:rsid w:val="004A655D"/>
    <w:rsid w:val="004B109B"/>
    <w:rsid w:val="004B25BD"/>
    <w:rsid w:val="004B2696"/>
    <w:rsid w:val="004B2989"/>
    <w:rsid w:val="004C226B"/>
    <w:rsid w:val="004C4EE1"/>
    <w:rsid w:val="004C5BB6"/>
    <w:rsid w:val="004C6BCF"/>
    <w:rsid w:val="004D03FE"/>
    <w:rsid w:val="004D2B82"/>
    <w:rsid w:val="004D2EAB"/>
    <w:rsid w:val="004D6C58"/>
    <w:rsid w:val="004D6FDF"/>
    <w:rsid w:val="004E0365"/>
    <w:rsid w:val="004E1CBB"/>
    <w:rsid w:val="004E237E"/>
    <w:rsid w:val="004E26EF"/>
    <w:rsid w:val="004E53FB"/>
    <w:rsid w:val="004E5612"/>
    <w:rsid w:val="004E5C82"/>
    <w:rsid w:val="004E5FE3"/>
    <w:rsid w:val="004E7D05"/>
    <w:rsid w:val="004F05BD"/>
    <w:rsid w:val="004F0B75"/>
    <w:rsid w:val="004F18D5"/>
    <w:rsid w:val="004F3AEC"/>
    <w:rsid w:val="004F3DBF"/>
    <w:rsid w:val="004F5A90"/>
    <w:rsid w:val="004F728E"/>
    <w:rsid w:val="00500249"/>
    <w:rsid w:val="005006F0"/>
    <w:rsid w:val="00501C77"/>
    <w:rsid w:val="005033F2"/>
    <w:rsid w:val="00503625"/>
    <w:rsid w:val="00503E37"/>
    <w:rsid w:val="00505BFB"/>
    <w:rsid w:val="00511447"/>
    <w:rsid w:val="00511E13"/>
    <w:rsid w:val="00513722"/>
    <w:rsid w:val="0051417B"/>
    <w:rsid w:val="00517FB3"/>
    <w:rsid w:val="00522571"/>
    <w:rsid w:val="005258BE"/>
    <w:rsid w:val="005312A3"/>
    <w:rsid w:val="00532199"/>
    <w:rsid w:val="005321AA"/>
    <w:rsid w:val="00533155"/>
    <w:rsid w:val="005366CF"/>
    <w:rsid w:val="0054155A"/>
    <w:rsid w:val="00541A1A"/>
    <w:rsid w:val="0054601E"/>
    <w:rsid w:val="00547714"/>
    <w:rsid w:val="00550305"/>
    <w:rsid w:val="0055137B"/>
    <w:rsid w:val="00551E92"/>
    <w:rsid w:val="0055340D"/>
    <w:rsid w:val="00554A50"/>
    <w:rsid w:val="00556A27"/>
    <w:rsid w:val="005577FC"/>
    <w:rsid w:val="005607F6"/>
    <w:rsid w:val="00565028"/>
    <w:rsid w:val="00571B69"/>
    <w:rsid w:val="00572FA7"/>
    <w:rsid w:val="005745A9"/>
    <w:rsid w:val="00574E17"/>
    <w:rsid w:val="00576309"/>
    <w:rsid w:val="00577435"/>
    <w:rsid w:val="00580CCF"/>
    <w:rsid w:val="00582F69"/>
    <w:rsid w:val="00582FD7"/>
    <w:rsid w:val="005848B5"/>
    <w:rsid w:val="00584ED3"/>
    <w:rsid w:val="0058612F"/>
    <w:rsid w:val="005861C7"/>
    <w:rsid w:val="0058730F"/>
    <w:rsid w:val="005879FE"/>
    <w:rsid w:val="005907CF"/>
    <w:rsid w:val="00595CD8"/>
    <w:rsid w:val="00596CF9"/>
    <w:rsid w:val="00597DEC"/>
    <w:rsid w:val="005A37EF"/>
    <w:rsid w:val="005A4BB0"/>
    <w:rsid w:val="005A4FFD"/>
    <w:rsid w:val="005A566E"/>
    <w:rsid w:val="005B218D"/>
    <w:rsid w:val="005C001B"/>
    <w:rsid w:val="005C37FC"/>
    <w:rsid w:val="005D1ED8"/>
    <w:rsid w:val="005D2F23"/>
    <w:rsid w:val="005D44E2"/>
    <w:rsid w:val="005D725F"/>
    <w:rsid w:val="005E053A"/>
    <w:rsid w:val="005E1FDF"/>
    <w:rsid w:val="005E48A5"/>
    <w:rsid w:val="005E64F6"/>
    <w:rsid w:val="005F04CD"/>
    <w:rsid w:val="005F32C5"/>
    <w:rsid w:val="005F6603"/>
    <w:rsid w:val="00601132"/>
    <w:rsid w:val="0060479D"/>
    <w:rsid w:val="006072F7"/>
    <w:rsid w:val="00607AC1"/>
    <w:rsid w:val="00613FA4"/>
    <w:rsid w:val="00614BCF"/>
    <w:rsid w:val="00621634"/>
    <w:rsid w:val="00623B17"/>
    <w:rsid w:val="00623D8C"/>
    <w:rsid w:val="00624F66"/>
    <w:rsid w:val="00625899"/>
    <w:rsid w:val="00626803"/>
    <w:rsid w:val="00631515"/>
    <w:rsid w:val="00633CEB"/>
    <w:rsid w:val="006349C9"/>
    <w:rsid w:val="00640C17"/>
    <w:rsid w:val="00641817"/>
    <w:rsid w:val="00642175"/>
    <w:rsid w:val="006434E1"/>
    <w:rsid w:val="00644F96"/>
    <w:rsid w:val="00645658"/>
    <w:rsid w:val="00645D47"/>
    <w:rsid w:val="0064711D"/>
    <w:rsid w:val="00650EC0"/>
    <w:rsid w:val="006514C0"/>
    <w:rsid w:val="00653098"/>
    <w:rsid w:val="006600F1"/>
    <w:rsid w:val="0066023E"/>
    <w:rsid w:val="00660942"/>
    <w:rsid w:val="00663B43"/>
    <w:rsid w:val="00670E5F"/>
    <w:rsid w:val="00673E0B"/>
    <w:rsid w:val="006755EF"/>
    <w:rsid w:val="0067652B"/>
    <w:rsid w:val="00676BEF"/>
    <w:rsid w:val="00680D57"/>
    <w:rsid w:val="00684DA0"/>
    <w:rsid w:val="006862A9"/>
    <w:rsid w:val="00687000"/>
    <w:rsid w:val="00687051"/>
    <w:rsid w:val="00691389"/>
    <w:rsid w:val="00691D0E"/>
    <w:rsid w:val="00691F60"/>
    <w:rsid w:val="0069403A"/>
    <w:rsid w:val="00694153"/>
    <w:rsid w:val="006A0BB1"/>
    <w:rsid w:val="006A1E5D"/>
    <w:rsid w:val="006A427D"/>
    <w:rsid w:val="006A5F8D"/>
    <w:rsid w:val="006B3398"/>
    <w:rsid w:val="006B6050"/>
    <w:rsid w:val="006C0202"/>
    <w:rsid w:val="006C19EF"/>
    <w:rsid w:val="006C5265"/>
    <w:rsid w:val="006C5D38"/>
    <w:rsid w:val="006C6130"/>
    <w:rsid w:val="006C6BAD"/>
    <w:rsid w:val="006D1F59"/>
    <w:rsid w:val="006D3A9D"/>
    <w:rsid w:val="006E053B"/>
    <w:rsid w:val="006E14EE"/>
    <w:rsid w:val="006E2C70"/>
    <w:rsid w:val="006E32D0"/>
    <w:rsid w:val="006E37D3"/>
    <w:rsid w:val="006E3809"/>
    <w:rsid w:val="006E44B1"/>
    <w:rsid w:val="006E4AB6"/>
    <w:rsid w:val="006F0F24"/>
    <w:rsid w:val="006F2172"/>
    <w:rsid w:val="006F3491"/>
    <w:rsid w:val="00702950"/>
    <w:rsid w:val="007042D5"/>
    <w:rsid w:val="00705EEA"/>
    <w:rsid w:val="00706595"/>
    <w:rsid w:val="0071463A"/>
    <w:rsid w:val="00714D97"/>
    <w:rsid w:val="00717F78"/>
    <w:rsid w:val="00720D14"/>
    <w:rsid w:val="00721A8D"/>
    <w:rsid w:val="00724F75"/>
    <w:rsid w:val="00725D96"/>
    <w:rsid w:val="007268C7"/>
    <w:rsid w:val="00727D2F"/>
    <w:rsid w:val="007309E6"/>
    <w:rsid w:val="007318C8"/>
    <w:rsid w:val="007340B9"/>
    <w:rsid w:val="0073517E"/>
    <w:rsid w:val="00737D93"/>
    <w:rsid w:val="007404FF"/>
    <w:rsid w:val="00740567"/>
    <w:rsid w:val="00740C22"/>
    <w:rsid w:val="007449DD"/>
    <w:rsid w:val="00744BD9"/>
    <w:rsid w:val="007513A2"/>
    <w:rsid w:val="0075393A"/>
    <w:rsid w:val="00753A52"/>
    <w:rsid w:val="00755CAA"/>
    <w:rsid w:val="0076295F"/>
    <w:rsid w:val="0076301F"/>
    <w:rsid w:val="007631F2"/>
    <w:rsid w:val="007642A3"/>
    <w:rsid w:val="0076591A"/>
    <w:rsid w:val="00767143"/>
    <w:rsid w:val="007674F0"/>
    <w:rsid w:val="0077516D"/>
    <w:rsid w:val="00777870"/>
    <w:rsid w:val="00782F18"/>
    <w:rsid w:val="00785976"/>
    <w:rsid w:val="00786278"/>
    <w:rsid w:val="00786F48"/>
    <w:rsid w:val="007914A1"/>
    <w:rsid w:val="007922CE"/>
    <w:rsid w:val="0079304E"/>
    <w:rsid w:val="007A28FB"/>
    <w:rsid w:val="007B10CA"/>
    <w:rsid w:val="007B1A6C"/>
    <w:rsid w:val="007B409B"/>
    <w:rsid w:val="007B49F2"/>
    <w:rsid w:val="007B64FC"/>
    <w:rsid w:val="007B76CC"/>
    <w:rsid w:val="007B7D96"/>
    <w:rsid w:val="007C4C31"/>
    <w:rsid w:val="007C7874"/>
    <w:rsid w:val="007D14EB"/>
    <w:rsid w:val="007D2CEA"/>
    <w:rsid w:val="007D3967"/>
    <w:rsid w:val="007D41B5"/>
    <w:rsid w:val="007D52B7"/>
    <w:rsid w:val="007D5936"/>
    <w:rsid w:val="007E16B8"/>
    <w:rsid w:val="007E2864"/>
    <w:rsid w:val="007F20F3"/>
    <w:rsid w:val="007F256A"/>
    <w:rsid w:val="007F3E05"/>
    <w:rsid w:val="007F4A86"/>
    <w:rsid w:val="007F575A"/>
    <w:rsid w:val="007F6296"/>
    <w:rsid w:val="0080136B"/>
    <w:rsid w:val="00804310"/>
    <w:rsid w:val="00805781"/>
    <w:rsid w:val="0080763B"/>
    <w:rsid w:val="00813178"/>
    <w:rsid w:val="00815E28"/>
    <w:rsid w:val="0081725C"/>
    <w:rsid w:val="00817F08"/>
    <w:rsid w:val="00821B8F"/>
    <w:rsid w:val="00822A5A"/>
    <w:rsid w:val="008251EA"/>
    <w:rsid w:val="008279D3"/>
    <w:rsid w:val="00832CF0"/>
    <w:rsid w:val="00834240"/>
    <w:rsid w:val="0083627C"/>
    <w:rsid w:val="008379DA"/>
    <w:rsid w:val="00841810"/>
    <w:rsid w:val="00841982"/>
    <w:rsid w:val="00844631"/>
    <w:rsid w:val="0084560C"/>
    <w:rsid w:val="0084657D"/>
    <w:rsid w:val="00846EDF"/>
    <w:rsid w:val="008547B3"/>
    <w:rsid w:val="00854ECA"/>
    <w:rsid w:val="00857190"/>
    <w:rsid w:val="00857368"/>
    <w:rsid w:val="008600DA"/>
    <w:rsid w:val="00861909"/>
    <w:rsid w:val="008628DC"/>
    <w:rsid w:val="00862E2F"/>
    <w:rsid w:val="00866B64"/>
    <w:rsid w:val="00866BC9"/>
    <w:rsid w:val="0087205E"/>
    <w:rsid w:val="00873E92"/>
    <w:rsid w:val="0087423E"/>
    <w:rsid w:val="00874FE4"/>
    <w:rsid w:val="008756C8"/>
    <w:rsid w:val="00877DDA"/>
    <w:rsid w:val="00880A01"/>
    <w:rsid w:val="00883A85"/>
    <w:rsid w:val="00886344"/>
    <w:rsid w:val="008876B9"/>
    <w:rsid w:val="008910E7"/>
    <w:rsid w:val="00891E09"/>
    <w:rsid w:val="00892926"/>
    <w:rsid w:val="00894DCF"/>
    <w:rsid w:val="0089654B"/>
    <w:rsid w:val="00896D1D"/>
    <w:rsid w:val="00897133"/>
    <w:rsid w:val="008A37A6"/>
    <w:rsid w:val="008A6519"/>
    <w:rsid w:val="008B0989"/>
    <w:rsid w:val="008B1600"/>
    <w:rsid w:val="008B4994"/>
    <w:rsid w:val="008B65BD"/>
    <w:rsid w:val="008B6B10"/>
    <w:rsid w:val="008C0E01"/>
    <w:rsid w:val="008C1AB4"/>
    <w:rsid w:val="008C40B0"/>
    <w:rsid w:val="008C441E"/>
    <w:rsid w:val="008D2A37"/>
    <w:rsid w:val="008E1CE2"/>
    <w:rsid w:val="008E2FB6"/>
    <w:rsid w:val="008E51AB"/>
    <w:rsid w:val="008E7240"/>
    <w:rsid w:val="008F273A"/>
    <w:rsid w:val="008F3064"/>
    <w:rsid w:val="008F3E2D"/>
    <w:rsid w:val="00900724"/>
    <w:rsid w:val="00910173"/>
    <w:rsid w:val="0091176D"/>
    <w:rsid w:val="00911813"/>
    <w:rsid w:val="00915179"/>
    <w:rsid w:val="00921C49"/>
    <w:rsid w:val="00922779"/>
    <w:rsid w:val="00922BE0"/>
    <w:rsid w:val="00922F8B"/>
    <w:rsid w:val="009243BF"/>
    <w:rsid w:val="00924E01"/>
    <w:rsid w:val="00924E9F"/>
    <w:rsid w:val="009267C7"/>
    <w:rsid w:val="00926AD8"/>
    <w:rsid w:val="0093044A"/>
    <w:rsid w:val="009306A6"/>
    <w:rsid w:val="00930B5C"/>
    <w:rsid w:val="0093391B"/>
    <w:rsid w:val="0093624F"/>
    <w:rsid w:val="00941242"/>
    <w:rsid w:val="00944768"/>
    <w:rsid w:val="009473CC"/>
    <w:rsid w:val="00947B15"/>
    <w:rsid w:val="00950B77"/>
    <w:rsid w:val="009519B1"/>
    <w:rsid w:val="00953CB2"/>
    <w:rsid w:val="00954213"/>
    <w:rsid w:val="009545FD"/>
    <w:rsid w:val="009572FA"/>
    <w:rsid w:val="00957AAB"/>
    <w:rsid w:val="00962E7C"/>
    <w:rsid w:val="0096542C"/>
    <w:rsid w:val="00967B6F"/>
    <w:rsid w:val="00971995"/>
    <w:rsid w:val="009724A1"/>
    <w:rsid w:val="00973844"/>
    <w:rsid w:val="00974660"/>
    <w:rsid w:val="00975460"/>
    <w:rsid w:val="009805BA"/>
    <w:rsid w:val="00981169"/>
    <w:rsid w:val="009816F9"/>
    <w:rsid w:val="00982BE1"/>
    <w:rsid w:val="00983320"/>
    <w:rsid w:val="00996DFA"/>
    <w:rsid w:val="00997AD2"/>
    <w:rsid w:val="009A1183"/>
    <w:rsid w:val="009A25D0"/>
    <w:rsid w:val="009A2681"/>
    <w:rsid w:val="009A400E"/>
    <w:rsid w:val="009A606C"/>
    <w:rsid w:val="009B06A0"/>
    <w:rsid w:val="009B165F"/>
    <w:rsid w:val="009B2B6B"/>
    <w:rsid w:val="009B2BAE"/>
    <w:rsid w:val="009B2EA6"/>
    <w:rsid w:val="009B4F0F"/>
    <w:rsid w:val="009C0B57"/>
    <w:rsid w:val="009C1C04"/>
    <w:rsid w:val="009C38D2"/>
    <w:rsid w:val="009C6D8A"/>
    <w:rsid w:val="009D0C54"/>
    <w:rsid w:val="009D3774"/>
    <w:rsid w:val="009D5927"/>
    <w:rsid w:val="009D5A15"/>
    <w:rsid w:val="009D5CEF"/>
    <w:rsid w:val="009E2306"/>
    <w:rsid w:val="009E2338"/>
    <w:rsid w:val="009E2CC5"/>
    <w:rsid w:val="009E2CE2"/>
    <w:rsid w:val="009E3C1E"/>
    <w:rsid w:val="009F457C"/>
    <w:rsid w:val="009F6845"/>
    <w:rsid w:val="00A011DE"/>
    <w:rsid w:val="00A01B2D"/>
    <w:rsid w:val="00A032AC"/>
    <w:rsid w:val="00A03E79"/>
    <w:rsid w:val="00A04519"/>
    <w:rsid w:val="00A06BAF"/>
    <w:rsid w:val="00A06EE3"/>
    <w:rsid w:val="00A102C2"/>
    <w:rsid w:val="00A12274"/>
    <w:rsid w:val="00A161C7"/>
    <w:rsid w:val="00A17591"/>
    <w:rsid w:val="00A21011"/>
    <w:rsid w:val="00A21B54"/>
    <w:rsid w:val="00A26336"/>
    <w:rsid w:val="00A27828"/>
    <w:rsid w:val="00A27D81"/>
    <w:rsid w:val="00A340EA"/>
    <w:rsid w:val="00A356ED"/>
    <w:rsid w:val="00A363AF"/>
    <w:rsid w:val="00A418B3"/>
    <w:rsid w:val="00A45D20"/>
    <w:rsid w:val="00A46DB5"/>
    <w:rsid w:val="00A5621E"/>
    <w:rsid w:val="00A61B5A"/>
    <w:rsid w:val="00A61F74"/>
    <w:rsid w:val="00A62AE5"/>
    <w:rsid w:val="00A6354B"/>
    <w:rsid w:val="00A650C6"/>
    <w:rsid w:val="00A65CF6"/>
    <w:rsid w:val="00A66CAE"/>
    <w:rsid w:val="00A674BA"/>
    <w:rsid w:val="00A70443"/>
    <w:rsid w:val="00A7052D"/>
    <w:rsid w:val="00A73283"/>
    <w:rsid w:val="00A744C6"/>
    <w:rsid w:val="00A749CB"/>
    <w:rsid w:val="00A74B46"/>
    <w:rsid w:val="00A76DF4"/>
    <w:rsid w:val="00A81F52"/>
    <w:rsid w:val="00A82AE2"/>
    <w:rsid w:val="00A8489A"/>
    <w:rsid w:val="00A8677F"/>
    <w:rsid w:val="00A91A40"/>
    <w:rsid w:val="00A921C8"/>
    <w:rsid w:val="00A92558"/>
    <w:rsid w:val="00A92674"/>
    <w:rsid w:val="00A9324B"/>
    <w:rsid w:val="00AA05A9"/>
    <w:rsid w:val="00AA0709"/>
    <w:rsid w:val="00AA2734"/>
    <w:rsid w:val="00AA2CB3"/>
    <w:rsid w:val="00AA2DBF"/>
    <w:rsid w:val="00AA3A70"/>
    <w:rsid w:val="00AB115B"/>
    <w:rsid w:val="00AB3372"/>
    <w:rsid w:val="00AB7A2B"/>
    <w:rsid w:val="00AB7F0D"/>
    <w:rsid w:val="00AC0625"/>
    <w:rsid w:val="00AC1F67"/>
    <w:rsid w:val="00AC3F08"/>
    <w:rsid w:val="00AC44FF"/>
    <w:rsid w:val="00AC463E"/>
    <w:rsid w:val="00AC4663"/>
    <w:rsid w:val="00AD0A89"/>
    <w:rsid w:val="00AD1927"/>
    <w:rsid w:val="00AD1E62"/>
    <w:rsid w:val="00AD24CA"/>
    <w:rsid w:val="00AD426A"/>
    <w:rsid w:val="00AD589D"/>
    <w:rsid w:val="00AD66CF"/>
    <w:rsid w:val="00AD7F2D"/>
    <w:rsid w:val="00AE06E4"/>
    <w:rsid w:val="00AE0BEC"/>
    <w:rsid w:val="00AE26EE"/>
    <w:rsid w:val="00AE3381"/>
    <w:rsid w:val="00AE3551"/>
    <w:rsid w:val="00AE6C32"/>
    <w:rsid w:val="00AE7E8D"/>
    <w:rsid w:val="00AF161F"/>
    <w:rsid w:val="00AF6BB0"/>
    <w:rsid w:val="00B016F6"/>
    <w:rsid w:val="00B0403D"/>
    <w:rsid w:val="00B06860"/>
    <w:rsid w:val="00B0731E"/>
    <w:rsid w:val="00B07741"/>
    <w:rsid w:val="00B11403"/>
    <w:rsid w:val="00B1271E"/>
    <w:rsid w:val="00B134B0"/>
    <w:rsid w:val="00B13C60"/>
    <w:rsid w:val="00B14BC3"/>
    <w:rsid w:val="00B17987"/>
    <w:rsid w:val="00B207E0"/>
    <w:rsid w:val="00B225B0"/>
    <w:rsid w:val="00B25916"/>
    <w:rsid w:val="00B32DF9"/>
    <w:rsid w:val="00B33E22"/>
    <w:rsid w:val="00B41219"/>
    <w:rsid w:val="00B4130D"/>
    <w:rsid w:val="00B42598"/>
    <w:rsid w:val="00B42F50"/>
    <w:rsid w:val="00B440A9"/>
    <w:rsid w:val="00B445AF"/>
    <w:rsid w:val="00B44E51"/>
    <w:rsid w:val="00B44E68"/>
    <w:rsid w:val="00B4642E"/>
    <w:rsid w:val="00B46511"/>
    <w:rsid w:val="00B46601"/>
    <w:rsid w:val="00B515E9"/>
    <w:rsid w:val="00B520E9"/>
    <w:rsid w:val="00B523D6"/>
    <w:rsid w:val="00B52A9B"/>
    <w:rsid w:val="00B52CDD"/>
    <w:rsid w:val="00B52DB2"/>
    <w:rsid w:val="00B60C44"/>
    <w:rsid w:val="00B61DC9"/>
    <w:rsid w:val="00B65696"/>
    <w:rsid w:val="00B6741A"/>
    <w:rsid w:val="00B70C14"/>
    <w:rsid w:val="00B70E47"/>
    <w:rsid w:val="00B7348A"/>
    <w:rsid w:val="00B74896"/>
    <w:rsid w:val="00B765A8"/>
    <w:rsid w:val="00B76A0F"/>
    <w:rsid w:val="00B80264"/>
    <w:rsid w:val="00B823D3"/>
    <w:rsid w:val="00B84065"/>
    <w:rsid w:val="00B8632E"/>
    <w:rsid w:val="00B923A0"/>
    <w:rsid w:val="00B93B18"/>
    <w:rsid w:val="00B93D30"/>
    <w:rsid w:val="00B96467"/>
    <w:rsid w:val="00BA6B96"/>
    <w:rsid w:val="00BA6C4C"/>
    <w:rsid w:val="00BA7A14"/>
    <w:rsid w:val="00BA7B55"/>
    <w:rsid w:val="00BB03B8"/>
    <w:rsid w:val="00BB03CD"/>
    <w:rsid w:val="00BB0873"/>
    <w:rsid w:val="00BB0C96"/>
    <w:rsid w:val="00BB176C"/>
    <w:rsid w:val="00BB2294"/>
    <w:rsid w:val="00BB27F6"/>
    <w:rsid w:val="00BB5C02"/>
    <w:rsid w:val="00BC2759"/>
    <w:rsid w:val="00BC7F3A"/>
    <w:rsid w:val="00BD1FCE"/>
    <w:rsid w:val="00BD3ADA"/>
    <w:rsid w:val="00BD5B96"/>
    <w:rsid w:val="00BD5BAE"/>
    <w:rsid w:val="00BD7804"/>
    <w:rsid w:val="00BE44EF"/>
    <w:rsid w:val="00BF10D6"/>
    <w:rsid w:val="00BF2C85"/>
    <w:rsid w:val="00BF3D4A"/>
    <w:rsid w:val="00BF5166"/>
    <w:rsid w:val="00C030E2"/>
    <w:rsid w:val="00C04799"/>
    <w:rsid w:val="00C075D1"/>
    <w:rsid w:val="00C1106A"/>
    <w:rsid w:val="00C1360A"/>
    <w:rsid w:val="00C14DD5"/>
    <w:rsid w:val="00C14EBA"/>
    <w:rsid w:val="00C16694"/>
    <w:rsid w:val="00C237B9"/>
    <w:rsid w:val="00C238FF"/>
    <w:rsid w:val="00C23A13"/>
    <w:rsid w:val="00C24087"/>
    <w:rsid w:val="00C251C5"/>
    <w:rsid w:val="00C261E3"/>
    <w:rsid w:val="00C2760C"/>
    <w:rsid w:val="00C30C53"/>
    <w:rsid w:val="00C30E2D"/>
    <w:rsid w:val="00C32069"/>
    <w:rsid w:val="00C32EB8"/>
    <w:rsid w:val="00C3667E"/>
    <w:rsid w:val="00C42F12"/>
    <w:rsid w:val="00C4383A"/>
    <w:rsid w:val="00C43F5F"/>
    <w:rsid w:val="00C54BA6"/>
    <w:rsid w:val="00C60069"/>
    <w:rsid w:val="00C628B0"/>
    <w:rsid w:val="00C632CB"/>
    <w:rsid w:val="00C64A75"/>
    <w:rsid w:val="00C64CDD"/>
    <w:rsid w:val="00C65B83"/>
    <w:rsid w:val="00C6646C"/>
    <w:rsid w:val="00C701C2"/>
    <w:rsid w:val="00C73711"/>
    <w:rsid w:val="00C74164"/>
    <w:rsid w:val="00C744DB"/>
    <w:rsid w:val="00C814B7"/>
    <w:rsid w:val="00C8162E"/>
    <w:rsid w:val="00C825A4"/>
    <w:rsid w:val="00C825EB"/>
    <w:rsid w:val="00C83070"/>
    <w:rsid w:val="00C83409"/>
    <w:rsid w:val="00C86D15"/>
    <w:rsid w:val="00C91E31"/>
    <w:rsid w:val="00C92C70"/>
    <w:rsid w:val="00C92EDC"/>
    <w:rsid w:val="00C95BAE"/>
    <w:rsid w:val="00C95DE3"/>
    <w:rsid w:val="00CA2D1D"/>
    <w:rsid w:val="00CA6D9C"/>
    <w:rsid w:val="00CA6F2E"/>
    <w:rsid w:val="00CA734D"/>
    <w:rsid w:val="00CA7A60"/>
    <w:rsid w:val="00CB6BCF"/>
    <w:rsid w:val="00CC1045"/>
    <w:rsid w:val="00CC4A44"/>
    <w:rsid w:val="00CC6EB8"/>
    <w:rsid w:val="00CC7CB1"/>
    <w:rsid w:val="00CD361F"/>
    <w:rsid w:val="00CD4C03"/>
    <w:rsid w:val="00CE15A6"/>
    <w:rsid w:val="00CE2D1F"/>
    <w:rsid w:val="00CE3820"/>
    <w:rsid w:val="00CE4E5A"/>
    <w:rsid w:val="00CE4EB9"/>
    <w:rsid w:val="00CE696E"/>
    <w:rsid w:val="00CE6B1A"/>
    <w:rsid w:val="00CE760F"/>
    <w:rsid w:val="00CF0330"/>
    <w:rsid w:val="00CF1034"/>
    <w:rsid w:val="00CF1CA1"/>
    <w:rsid w:val="00CF215A"/>
    <w:rsid w:val="00CF2F59"/>
    <w:rsid w:val="00CF3B14"/>
    <w:rsid w:val="00CF4DE2"/>
    <w:rsid w:val="00CF6799"/>
    <w:rsid w:val="00CF7058"/>
    <w:rsid w:val="00D015BB"/>
    <w:rsid w:val="00D01AE3"/>
    <w:rsid w:val="00D04B9B"/>
    <w:rsid w:val="00D06AE0"/>
    <w:rsid w:val="00D102AF"/>
    <w:rsid w:val="00D12B13"/>
    <w:rsid w:val="00D136E4"/>
    <w:rsid w:val="00D14B32"/>
    <w:rsid w:val="00D20895"/>
    <w:rsid w:val="00D2379A"/>
    <w:rsid w:val="00D328D3"/>
    <w:rsid w:val="00D3327E"/>
    <w:rsid w:val="00D3467C"/>
    <w:rsid w:val="00D425DD"/>
    <w:rsid w:val="00D437A5"/>
    <w:rsid w:val="00D448E7"/>
    <w:rsid w:val="00D45617"/>
    <w:rsid w:val="00D45B96"/>
    <w:rsid w:val="00D51018"/>
    <w:rsid w:val="00D52693"/>
    <w:rsid w:val="00D53CF4"/>
    <w:rsid w:val="00D55BF5"/>
    <w:rsid w:val="00D57450"/>
    <w:rsid w:val="00D6015F"/>
    <w:rsid w:val="00D610F1"/>
    <w:rsid w:val="00D6770D"/>
    <w:rsid w:val="00D70F59"/>
    <w:rsid w:val="00D7297E"/>
    <w:rsid w:val="00D72B54"/>
    <w:rsid w:val="00D733EE"/>
    <w:rsid w:val="00D73CC4"/>
    <w:rsid w:val="00D75FE4"/>
    <w:rsid w:val="00D7636E"/>
    <w:rsid w:val="00D8022E"/>
    <w:rsid w:val="00D80ED7"/>
    <w:rsid w:val="00D83705"/>
    <w:rsid w:val="00D84496"/>
    <w:rsid w:val="00D84665"/>
    <w:rsid w:val="00D84A07"/>
    <w:rsid w:val="00D85FD5"/>
    <w:rsid w:val="00D861B2"/>
    <w:rsid w:val="00D87611"/>
    <w:rsid w:val="00D87917"/>
    <w:rsid w:val="00D92A4C"/>
    <w:rsid w:val="00D97E5F"/>
    <w:rsid w:val="00DA0225"/>
    <w:rsid w:val="00DA1338"/>
    <w:rsid w:val="00DA7E38"/>
    <w:rsid w:val="00DB3074"/>
    <w:rsid w:val="00DB4560"/>
    <w:rsid w:val="00DB63DC"/>
    <w:rsid w:val="00DB6561"/>
    <w:rsid w:val="00DC2D33"/>
    <w:rsid w:val="00DC2E60"/>
    <w:rsid w:val="00DC432C"/>
    <w:rsid w:val="00DC5ECE"/>
    <w:rsid w:val="00DC7331"/>
    <w:rsid w:val="00DC7D94"/>
    <w:rsid w:val="00DD141F"/>
    <w:rsid w:val="00DD5B80"/>
    <w:rsid w:val="00DD60AF"/>
    <w:rsid w:val="00DE0688"/>
    <w:rsid w:val="00DE3255"/>
    <w:rsid w:val="00DE37E3"/>
    <w:rsid w:val="00DE507C"/>
    <w:rsid w:val="00DE5D6A"/>
    <w:rsid w:val="00DE60D0"/>
    <w:rsid w:val="00DE6975"/>
    <w:rsid w:val="00DE6C67"/>
    <w:rsid w:val="00DE745E"/>
    <w:rsid w:val="00DF2A2A"/>
    <w:rsid w:val="00DF518B"/>
    <w:rsid w:val="00DF6A03"/>
    <w:rsid w:val="00E001C9"/>
    <w:rsid w:val="00E010E9"/>
    <w:rsid w:val="00E03D4C"/>
    <w:rsid w:val="00E06154"/>
    <w:rsid w:val="00E078DF"/>
    <w:rsid w:val="00E12F48"/>
    <w:rsid w:val="00E133B9"/>
    <w:rsid w:val="00E137EC"/>
    <w:rsid w:val="00E13851"/>
    <w:rsid w:val="00E20C64"/>
    <w:rsid w:val="00E2610A"/>
    <w:rsid w:val="00E2690A"/>
    <w:rsid w:val="00E272E7"/>
    <w:rsid w:val="00E277DF"/>
    <w:rsid w:val="00E377BC"/>
    <w:rsid w:val="00E37939"/>
    <w:rsid w:val="00E439E4"/>
    <w:rsid w:val="00E46021"/>
    <w:rsid w:val="00E52CA4"/>
    <w:rsid w:val="00E539A6"/>
    <w:rsid w:val="00E566BF"/>
    <w:rsid w:val="00E570E3"/>
    <w:rsid w:val="00E60187"/>
    <w:rsid w:val="00E60F19"/>
    <w:rsid w:val="00E61BB1"/>
    <w:rsid w:val="00E637A5"/>
    <w:rsid w:val="00E64AFC"/>
    <w:rsid w:val="00E70736"/>
    <w:rsid w:val="00E720BC"/>
    <w:rsid w:val="00E726F2"/>
    <w:rsid w:val="00E73093"/>
    <w:rsid w:val="00E73F2A"/>
    <w:rsid w:val="00E77627"/>
    <w:rsid w:val="00E77C35"/>
    <w:rsid w:val="00E8135D"/>
    <w:rsid w:val="00E829D2"/>
    <w:rsid w:val="00E85698"/>
    <w:rsid w:val="00E85F35"/>
    <w:rsid w:val="00E86E3E"/>
    <w:rsid w:val="00E87A72"/>
    <w:rsid w:val="00E92820"/>
    <w:rsid w:val="00E938AD"/>
    <w:rsid w:val="00E93BC0"/>
    <w:rsid w:val="00E954CA"/>
    <w:rsid w:val="00EA0D0C"/>
    <w:rsid w:val="00EA1CD0"/>
    <w:rsid w:val="00EA4D2C"/>
    <w:rsid w:val="00EB5D19"/>
    <w:rsid w:val="00EB631E"/>
    <w:rsid w:val="00EC1E30"/>
    <w:rsid w:val="00EC27AE"/>
    <w:rsid w:val="00EC5943"/>
    <w:rsid w:val="00EC5BE1"/>
    <w:rsid w:val="00EC6BD0"/>
    <w:rsid w:val="00ED2A27"/>
    <w:rsid w:val="00ED3E26"/>
    <w:rsid w:val="00ED4000"/>
    <w:rsid w:val="00ED417D"/>
    <w:rsid w:val="00EE156D"/>
    <w:rsid w:val="00EE24E9"/>
    <w:rsid w:val="00EE41BB"/>
    <w:rsid w:val="00EE4DA1"/>
    <w:rsid w:val="00EE5F8B"/>
    <w:rsid w:val="00EE61CF"/>
    <w:rsid w:val="00EE6787"/>
    <w:rsid w:val="00EE696C"/>
    <w:rsid w:val="00EE75F8"/>
    <w:rsid w:val="00EF021F"/>
    <w:rsid w:val="00EF2F01"/>
    <w:rsid w:val="00EF6EF7"/>
    <w:rsid w:val="00F020F3"/>
    <w:rsid w:val="00F025C8"/>
    <w:rsid w:val="00F02EDC"/>
    <w:rsid w:val="00F04923"/>
    <w:rsid w:val="00F05350"/>
    <w:rsid w:val="00F05C36"/>
    <w:rsid w:val="00F0601F"/>
    <w:rsid w:val="00F07005"/>
    <w:rsid w:val="00F14130"/>
    <w:rsid w:val="00F1691B"/>
    <w:rsid w:val="00F20FD1"/>
    <w:rsid w:val="00F224B9"/>
    <w:rsid w:val="00F233A1"/>
    <w:rsid w:val="00F24866"/>
    <w:rsid w:val="00F25B49"/>
    <w:rsid w:val="00F27574"/>
    <w:rsid w:val="00F309EE"/>
    <w:rsid w:val="00F3172C"/>
    <w:rsid w:val="00F32FCE"/>
    <w:rsid w:val="00F34A20"/>
    <w:rsid w:val="00F35266"/>
    <w:rsid w:val="00F35FFF"/>
    <w:rsid w:val="00F363F6"/>
    <w:rsid w:val="00F3648B"/>
    <w:rsid w:val="00F36671"/>
    <w:rsid w:val="00F427F9"/>
    <w:rsid w:val="00F50CC8"/>
    <w:rsid w:val="00F512B2"/>
    <w:rsid w:val="00F5200D"/>
    <w:rsid w:val="00F522D3"/>
    <w:rsid w:val="00F523EF"/>
    <w:rsid w:val="00F5273E"/>
    <w:rsid w:val="00F5586E"/>
    <w:rsid w:val="00F55A07"/>
    <w:rsid w:val="00F55EF7"/>
    <w:rsid w:val="00F56193"/>
    <w:rsid w:val="00F56E44"/>
    <w:rsid w:val="00F60198"/>
    <w:rsid w:val="00F61B19"/>
    <w:rsid w:val="00F62A70"/>
    <w:rsid w:val="00F65E86"/>
    <w:rsid w:val="00F66509"/>
    <w:rsid w:val="00F66D1E"/>
    <w:rsid w:val="00F7155F"/>
    <w:rsid w:val="00F72001"/>
    <w:rsid w:val="00F72931"/>
    <w:rsid w:val="00F730F5"/>
    <w:rsid w:val="00F81DFF"/>
    <w:rsid w:val="00F8402F"/>
    <w:rsid w:val="00F84709"/>
    <w:rsid w:val="00F858E5"/>
    <w:rsid w:val="00F85DAA"/>
    <w:rsid w:val="00F86263"/>
    <w:rsid w:val="00F87729"/>
    <w:rsid w:val="00F9042E"/>
    <w:rsid w:val="00F92C0A"/>
    <w:rsid w:val="00F973E3"/>
    <w:rsid w:val="00F97D8D"/>
    <w:rsid w:val="00FA0E26"/>
    <w:rsid w:val="00FA4BC3"/>
    <w:rsid w:val="00FA5424"/>
    <w:rsid w:val="00FA5BD4"/>
    <w:rsid w:val="00FA6DF9"/>
    <w:rsid w:val="00FB19E0"/>
    <w:rsid w:val="00FB1C26"/>
    <w:rsid w:val="00FC2FAC"/>
    <w:rsid w:val="00FC3C4B"/>
    <w:rsid w:val="00FC69E7"/>
    <w:rsid w:val="00FD002A"/>
    <w:rsid w:val="00FD4E7A"/>
    <w:rsid w:val="00FD59B5"/>
    <w:rsid w:val="00FE0845"/>
    <w:rsid w:val="00FE587C"/>
    <w:rsid w:val="00FF0CB4"/>
    <w:rsid w:val="00FF3BC2"/>
    <w:rsid w:val="012F4250"/>
    <w:rsid w:val="035E7FB7"/>
    <w:rsid w:val="058877F8"/>
    <w:rsid w:val="09DB5AD0"/>
    <w:rsid w:val="0A86548A"/>
    <w:rsid w:val="0DF7703F"/>
    <w:rsid w:val="0E200F15"/>
    <w:rsid w:val="0ED073BF"/>
    <w:rsid w:val="12F64E0A"/>
    <w:rsid w:val="171620D6"/>
    <w:rsid w:val="229972C4"/>
    <w:rsid w:val="23CD0006"/>
    <w:rsid w:val="25CB71C0"/>
    <w:rsid w:val="281821DA"/>
    <w:rsid w:val="290A067F"/>
    <w:rsid w:val="2D7F25DA"/>
    <w:rsid w:val="2F0D5A57"/>
    <w:rsid w:val="397B7660"/>
    <w:rsid w:val="3A747649"/>
    <w:rsid w:val="3CBF6DA1"/>
    <w:rsid w:val="416B2891"/>
    <w:rsid w:val="4D28339B"/>
    <w:rsid w:val="4FBD56F1"/>
    <w:rsid w:val="503E310A"/>
    <w:rsid w:val="50E23E7B"/>
    <w:rsid w:val="52F9404A"/>
    <w:rsid w:val="55747F02"/>
    <w:rsid w:val="57DF5937"/>
    <w:rsid w:val="58253BE7"/>
    <w:rsid w:val="587A1B6C"/>
    <w:rsid w:val="5B0543E1"/>
    <w:rsid w:val="5C145059"/>
    <w:rsid w:val="5EAE131B"/>
    <w:rsid w:val="60C54629"/>
    <w:rsid w:val="640D3DC3"/>
    <w:rsid w:val="6670311C"/>
    <w:rsid w:val="673C4921"/>
    <w:rsid w:val="67EC3B7E"/>
    <w:rsid w:val="68932921"/>
    <w:rsid w:val="6B7F560B"/>
    <w:rsid w:val="73125CA8"/>
    <w:rsid w:val="7653676B"/>
    <w:rsid w:val="76F41563"/>
    <w:rsid w:val="76FF36B3"/>
    <w:rsid w:val="789953BE"/>
    <w:rsid w:val="7BE4376C"/>
    <w:rsid w:val="7F611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Calibri" w:hAnsi="Calibri" w:eastAsia="宋体" w:cs="Times New Roman"/>
      <w:kern w:val="2"/>
      <w:sz w:val="24"/>
      <w:szCs w:val="22"/>
      <w:lang w:val="en-US" w:eastAsia="zh-CN" w:bidi="ar-SA"/>
    </w:rPr>
  </w:style>
  <w:style w:type="paragraph" w:styleId="2">
    <w:name w:val="heading 1"/>
    <w:basedOn w:val="1"/>
    <w:next w:val="1"/>
    <w:link w:val="26"/>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7"/>
    <w:qFormat/>
    <w:uiPriority w:val="9"/>
    <w:pPr>
      <w:keepNext/>
      <w:keepLines/>
      <w:numPr>
        <w:ilvl w:val="1"/>
        <w:numId w:val="1"/>
      </w:numPr>
      <w:spacing w:before="260" w:after="260" w:line="416" w:lineRule="auto"/>
      <w:outlineLvl w:val="1"/>
    </w:pPr>
    <w:rPr>
      <w:rFonts w:ascii="Cambria" w:hAnsi="Cambria"/>
      <w:b/>
      <w:bCs/>
      <w:sz w:val="32"/>
      <w:szCs w:val="32"/>
    </w:rPr>
  </w:style>
  <w:style w:type="paragraph" w:styleId="4">
    <w:name w:val="heading 3"/>
    <w:basedOn w:val="1"/>
    <w:next w:val="1"/>
    <w:link w:val="28"/>
    <w:qFormat/>
    <w:uiPriority w:val="9"/>
    <w:pPr>
      <w:keepNext/>
      <w:keepLines/>
      <w:spacing w:before="260" w:after="260"/>
      <w:outlineLvl w:val="2"/>
    </w:pPr>
    <w:rPr>
      <w:b/>
      <w:bCs/>
      <w:sz w:val="30"/>
      <w:szCs w:val="32"/>
    </w:rPr>
  </w:style>
  <w:style w:type="paragraph" w:styleId="5">
    <w:name w:val="heading 4"/>
    <w:basedOn w:val="1"/>
    <w:next w:val="1"/>
    <w:link w:val="29"/>
    <w:qFormat/>
    <w:uiPriority w:val="9"/>
    <w:pPr>
      <w:keepNext/>
      <w:keepLines/>
      <w:spacing w:before="200" w:after="200" w:line="360" w:lineRule="auto"/>
      <w:outlineLvl w:val="3"/>
    </w:pPr>
    <w:rPr>
      <w:rFonts w:ascii="等线 Light" w:hAnsi="等线 Light"/>
      <w:b/>
      <w:bCs/>
      <w:szCs w:val="28"/>
    </w:rPr>
  </w:style>
  <w:style w:type="paragraph" w:styleId="6">
    <w:name w:val="heading 5"/>
    <w:basedOn w:val="1"/>
    <w:next w:val="1"/>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qFormat/>
    <w:uiPriority w:val="9"/>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qFormat/>
    <w:uiPriority w:val="9"/>
    <w:pPr>
      <w:keepNext/>
      <w:keepLines/>
      <w:numPr>
        <w:ilvl w:val="6"/>
        <w:numId w:val="1"/>
      </w:numPr>
      <w:spacing w:before="240" w:after="64" w:line="317" w:lineRule="auto"/>
      <w:outlineLvl w:val="6"/>
    </w:pPr>
    <w:rPr>
      <w:b/>
    </w:rPr>
  </w:style>
  <w:style w:type="paragraph" w:styleId="9">
    <w:name w:val="heading 8"/>
    <w:basedOn w:val="1"/>
    <w:next w:val="1"/>
    <w:qFormat/>
    <w:uiPriority w:val="9"/>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qFormat/>
    <w:uiPriority w:val="9"/>
    <w:pPr>
      <w:keepNext/>
      <w:keepLines/>
      <w:numPr>
        <w:ilvl w:val="8"/>
        <w:numId w:val="1"/>
      </w:numPr>
      <w:spacing w:before="240" w:after="64" w:line="317" w:lineRule="auto"/>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30"/>
    <w:unhideWhenUsed/>
    <w:qFormat/>
    <w:uiPriority w:val="99"/>
    <w:pPr>
      <w:jc w:val="left"/>
    </w:pPr>
  </w:style>
  <w:style w:type="paragraph" w:styleId="12">
    <w:name w:val="toc 3"/>
    <w:basedOn w:val="1"/>
    <w:next w:val="1"/>
    <w:unhideWhenUsed/>
    <w:qFormat/>
    <w:uiPriority w:val="39"/>
    <w:pPr>
      <w:ind w:left="840" w:leftChars="400"/>
    </w:pPr>
  </w:style>
  <w:style w:type="paragraph" w:styleId="13">
    <w:name w:val="Balloon Text"/>
    <w:basedOn w:val="1"/>
    <w:link w:val="31"/>
    <w:unhideWhenUsed/>
    <w:qFormat/>
    <w:uiPriority w:val="99"/>
    <w:pPr>
      <w:spacing w:line="240" w:lineRule="auto"/>
    </w:pPr>
    <w:rPr>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Normal (Web)"/>
    <w:basedOn w:val="1"/>
    <w:unhideWhenUsed/>
    <w:qFormat/>
    <w:uiPriority w:val="99"/>
    <w:pPr>
      <w:spacing w:before="100" w:beforeAutospacing="1" w:after="100" w:afterAutospacing="1"/>
      <w:jc w:val="left"/>
    </w:pPr>
    <w:rPr>
      <w:rFonts w:ascii="宋体" w:hAnsi="宋体" w:cs="宋体"/>
      <w:kern w:val="0"/>
      <w:szCs w:val="24"/>
    </w:rPr>
  </w:style>
  <w:style w:type="paragraph" w:styleId="19">
    <w:name w:val="annotation subject"/>
    <w:basedOn w:val="11"/>
    <w:next w:val="11"/>
    <w:link w:val="34"/>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semiHidden/>
    <w:unhideWhenUsed/>
    <w:qFormat/>
    <w:uiPriority w:val="99"/>
    <w:rPr>
      <w:color w:val="800080"/>
      <w:u w:val="single"/>
    </w:rPr>
  </w:style>
  <w:style w:type="character" w:styleId="24">
    <w:name w:val="Hyperlink"/>
    <w:unhideWhenUsed/>
    <w:qFormat/>
    <w:uiPriority w:val="99"/>
    <w:rPr>
      <w:color w:val="0563C1"/>
      <w:u w:val="single"/>
    </w:rPr>
  </w:style>
  <w:style w:type="character" w:styleId="25">
    <w:name w:val="annotation reference"/>
    <w:unhideWhenUsed/>
    <w:qFormat/>
    <w:uiPriority w:val="99"/>
    <w:rPr>
      <w:sz w:val="21"/>
      <w:szCs w:val="21"/>
    </w:rPr>
  </w:style>
  <w:style w:type="character" w:customStyle="1" w:styleId="26">
    <w:name w:val="标题 1 Char"/>
    <w:link w:val="2"/>
    <w:qFormat/>
    <w:uiPriority w:val="9"/>
    <w:rPr>
      <w:rFonts w:ascii="Calibri" w:hAnsi="Calibri" w:eastAsia="宋体" w:cs="Times New Roman"/>
      <w:b/>
      <w:bCs/>
      <w:kern w:val="44"/>
      <w:sz w:val="44"/>
      <w:szCs w:val="44"/>
    </w:rPr>
  </w:style>
  <w:style w:type="character" w:customStyle="1" w:styleId="27">
    <w:name w:val="标题 2 Char"/>
    <w:link w:val="3"/>
    <w:qFormat/>
    <w:uiPriority w:val="9"/>
    <w:rPr>
      <w:rFonts w:ascii="Cambria" w:hAnsi="Cambria"/>
      <w:b/>
      <w:bCs/>
      <w:kern w:val="2"/>
      <w:sz w:val="32"/>
      <w:szCs w:val="32"/>
    </w:rPr>
  </w:style>
  <w:style w:type="character" w:customStyle="1" w:styleId="28">
    <w:name w:val="标题 3 Char"/>
    <w:link w:val="4"/>
    <w:qFormat/>
    <w:uiPriority w:val="9"/>
    <w:rPr>
      <w:rFonts w:ascii="Calibri" w:hAnsi="Calibri" w:eastAsia="宋体" w:cs="Times New Roman"/>
      <w:b/>
      <w:bCs/>
      <w:sz w:val="30"/>
      <w:szCs w:val="32"/>
    </w:rPr>
  </w:style>
  <w:style w:type="character" w:customStyle="1" w:styleId="29">
    <w:name w:val="标题 4 Char"/>
    <w:link w:val="5"/>
    <w:qFormat/>
    <w:uiPriority w:val="9"/>
    <w:rPr>
      <w:rFonts w:ascii="等线 Light" w:hAnsi="等线 Light" w:eastAsia="宋体" w:cs="Times New Roman"/>
      <w:b/>
      <w:bCs/>
      <w:kern w:val="2"/>
      <w:sz w:val="24"/>
      <w:szCs w:val="28"/>
    </w:rPr>
  </w:style>
  <w:style w:type="character" w:customStyle="1" w:styleId="30">
    <w:name w:val="批注文字 Char"/>
    <w:link w:val="11"/>
    <w:semiHidden/>
    <w:qFormat/>
    <w:uiPriority w:val="99"/>
    <w:rPr>
      <w:rFonts w:ascii="Calibri" w:hAnsi="Calibri" w:eastAsia="宋体" w:cs="Times New Roman"/>
    </w:rPr>
  </w:style>
  <w:style w:type="character" w:customStyle="1" w:styleId="31">
    <w:name w:val="批注框文本 Char"/>
    <w:link w:val="13"/>
    <w:semiHidden/>
    <w:qFormat/>
    <w:uiPriority w:val="99"/>
    <w:rPr>
      <w:rFonts w:ascii="Calibri" w:hAnsi="Calibri" w:eastAsia="宋体" w:cs="Times New Roman"/>
      <w:sz w:val="18"/>
      <w:szCs w:val="18"/>
    </w:rPr>
  </w:style>
  <w:style w:type="character" w:customStyle="1" w:styleId="32">
    <w:name w:val="页脚 Char1"/>
    <w:link w:val="14"/>
    <w:qFormat/>
    <w:uiPriority w:val="99"/>
    <w:rPr>
      <w:sz w:val="18"/>
      <w:szCs w:val="18"/>
    </w:rPr>
  </w:style>
  <w:style w:type="character" w:customStyle="1" w:styleId="33">
    <w:name w:val="页眉 Char1"/>
    <w:link w:val="15"/>
    <w:qFormat/>
    <w:uiPriority w:val="99"/>
    <w:rPr>
      <w:sz w:val="18"/>
      <w:szCs w:val="18"/>
    </w:rPr>
  </w:style>
  <w:style w:type="character" w:customStyle="1" w:styleId="34">
    <w:name w:val="批注主题 Char"/>
    <w:link w:val="19"/>
    <w:semiHidden/>
    <w:qFormat/>
    <w:uiPriority w:val="99"/>
    <w:rPr>
      <w:rFonts w:ascii="Calibri" w:hAnsi="Calibri" w:eastAsia="宋体" w:cs="Times New Roman"/>
      <w:b/>
      <w:bCs/>
    </w:rPr>
  </w:style>
  <w:style w:type="character" w:customStyle="1" w:styleId="35">
    <w:name w:val="页眉 Char"/>
    <w:qFormat/>
    <w:uiPriority w:val="99"/>
    <w:rPr>
      <w:sz w:val="18"/>
      <w:szCs w:val="18"/>
    </w:rPr>
  </w:style>
  <w:style w:type="character" w:customStyle="1" w:styleId="36">
    <w:name w:val="标题 2 字符"/>
    <w:semiHidden/>
    <w:qFormat/>
    <w:uiPriority w:val="9"/>
    <w:rPr>
      <w:rFonts w:ascii="等线 Light" w:hAnsi="等线 Light" w:eastAsia="等线 Light" w:cs="Times New Roman"/>
      <w:b/>
      <w:bCs/>
      <w:sz w:val="32"/>
      <w:szCs w:val="32"/>
    </w:rPr>
  </w:style>
  <w:style w:type="character" w:customStyle="1" w:styleId="37">
    <w:name w:val="页脚 Char"/>
    <w:qFormat/>
    <w:uiPriority w:val="99"/>
    <w:rPr>
      <w:sz w:val="18"/>
      <w:szCs w:val="18"/>
    </w:rPr>
  </w:style>
  <w:style w:type="character" w:customStyle="1" w:styleId="38">
    <w:name w:val="标题 3 字符"/>
    <w:semiHidden/>
    <w:qFormat/>
    <w:uiPriority w:val="9"/>
    <w:rPr>
      <w:rFonts w:ascii="Calibri" w:hAnsi="Calibri" w:eastAsia="宋体" w:cs="Times New Roman"/>
      <w:b/>
      <w:bCs/>
      <w:sz w:val="32"/>
      <w:szCs w:val="32"/>
    </w:rPr>
  </w:style>
  <w:style w:type="character" w:customStyle="1" w:styleId="39">
    <w:name w:val="msg"/>
    <w:basedOn w:val="22"/>
    <w:qFormat/>
    <w:uiPriority w:val="0"/>
  </w:style>
  <w:style w:type="character" w:customStyle="1" w:styleId="40">
    <w:name w:val="@他1"/>
    <w:unhideWhenUsed/>
    <w:qFormat/>
    <w:uiPriority w:val="99"/>
    <w:rPr>
      <w:color w:val="2B579A"/>
      <w:shd w:val="clear" w:color="auto" w:fill="E6E6E6"/>
    </w:rPr>
  </w:style>
  <w:style w:type="character" w:customStyle="1" w:styleId="41">
    <w:name w:val="标题 1 字符"/>
    <w:qFormat/>
    <w:uiPriority w:val="9"/>
    <w:rPr>
      <w:rFonts w:ascii="Calibri" w:hAnsi="Calibri" w:eastAsia="宋体" w:cs="Times New Roman"/>
      <w:b/>
      <w:bCs/>
      <w:kern w:val="44"/>
      <w:sz w:val="44"/>
      <w:szCs w:val="44"/>
    </w:rPr>
  </w:style>
  <w:style w:type="paragraph" w:customStyle="1" w:styleId="42">
    <w:name w:val="列出段落1"/>
    <w:basedOn w:val="1"/>
    <w:qFormat/>
    <w:uiPriority w:val="0"/>
    <w:pPr>
      <w:ind w:firstLine="420" w:firstLineChars="200"/>
    </w:pPr>
    <w:rPr>
      <w:rFonts w:cs="黑体"/>
    </w:rPr>
  </w:style>
  <w:style w:type="paragraph" w:customStyle="1" w:styleId="43">
    <w:name w:val="_Style 40"/>
    <w:basedOn w:val="2"/>
    <w:next w:val="1"/>
    <w:qFormat/>
    <w:uiPriority w:val="39"/>
    <w:pPr>
      <w:spacing w:before="240" w:after="0" w:line="259" w:lineRule="auto"/>
      <w:jc w:val="left"/>
      <w:outlineLvl w:val="9"/>
    </w:pPr>
    <w:rPr>
      <w:rFonts w:ascii="等线 Light" w:hAnsi="等线 Light" w:eastAsia="等线 Light"/>
      <w:b w:val="0"/>
      <w:bCs w:val="0"/>
      <w:color w:val="2F5496"/>
      <w:kern w:val="0"/>
      <w:sz w:val="32"/>
      <w:szCs w:val="32"/>
    </w:rPr>
  </w:style>
  <w:style w:type="paragraph" w:styleId="4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4059</Words>
  <Characters>4254</Characters>
  <Lines>32</Lines>
  <Paragraphs>9</Paragraphs>
  <TotalTime>1</TotalTime>
  <ScaleCrop>false</ScaleCrop>
  <LinksUpToDate>false</LinksUpToDate>
  <CharactersWithSpaces>4264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2022-08-05T06:21:00Z</dcterms:created>
  <dc:creator>lenovo</dc:creator>
  <cp:lastModifiedBy>梁</cp:lastModifiedBy>
  <cp:lastPrinted>2017-12-26T01:43:00Z</cp:lastPrinted>
  <dcterms:modified xsi:type="dcterms:W3CDTF">2025-07-05T07:12:03Z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BC4A2552379A4797A89A2BE8FCBA3DF0_13</vt:lpwstr>
  </property>
  <property fmtid="{D5CDD505-2E9C-101B-9397-08002B2CF9AE}" pid="4" name="KSOTemplateDocerSaveRecord">
    <vt:lpwstr>eyJoZGlkIjoiYmZhODRjMzU0YjVhY2VmZjA5MWFiMTU4NmU0ZWZjNDMiLCJ1c2VySWQiOiIxMTY3Mjc4NDQ0In0=</vt:lpwstr>
  </property>
</Properties>
</file>